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21f936626ed4e3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C8" w:rsidRDefault="00B467C8">
      <w:pPr>
        <w:pStyle w:val="CommentText"/>
        <w:rPr>
          <w:noProof/>
          <w:lang w:val="en-US"/>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396pt;margin-top:-53.85pt;width:90pt;height:117pt;z-index:251658240" stroked="f">
            <v:textbox>
              <w:txbxContent>
                <w:p w:rsidR="00B467C8" w:rsidRDefault="00B467C8">
                  <w:r w:rsidRPr="006C31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3.5pt;height:98.25pt">
                        <v:imagedata r:id="rId7" r:href="rId8"/>
                      </v:shape>
                    </w:pict>
                  </w:r>
                </w:p>
              </w:txbxContent>
            </v:textbox>
          </v:shape>
        </w:pict>
      </w:r>
    </w:p>
    <w:p w:rsidR="00B467C8" w:rsidRDefault="00B467C8">
      <w:pPr>
        <w:jc w:val="right"/>
        <w:rPr>
          <w:b/>
          <w:bCs/>
        </w:rPr>
      </w:pPr>
    </w:p>
    <w:p w:rsidR="00B467C8" w:rsidRDefault="00B467C8">
      <w:pPr>
        <w:tabs>
          <w:tab w:val="left" w:pos="2160"/>
        </w:tabs>
        <w:rPr>
          <w:b/>
          <w:bCs/>
          <w:sz w:val="32"/>
          <w:szCs w:val="32"/>
          <w:u w:val="single"/>
        </w:rPr>
      </w:pPr>
      <w:r>
        <w:rPr>
          <w:b/>
          <w:bCs/>
          <w:sz w:val="32"/>
          <w:szCs w:val="32"/>
          <w:u w:val="single"/>
        </w:rPr>
        <w:t xml:space="preserve">                                                                            </w:t>
      </w:r>
    </w:p>
    <w:p w:rsidR="00B467C8" w:rsidRDefault="00B467C8">
      <w:pPr>
        <w:rPr>
          <w:b/>
          <w:bCs/>
        </w:rPr>
      </w:pPr>
    </w:p>
    <w:p w:rsidR="00B467C8" w:rsidRPr="00804CB9" w:rsidRDefault="00B467C8">
      <w:pPr>
        <w:tabs>
          <w:tab w:val="left" w:pos="2160"/>
        </w:tabs>
        <w:rPr>
          <w:b/>
          <w:bCs/>
        </w:rPr>
      </w:pPr>
      <w:r>
        <w:rPr>
          <w:b/>
          <w:bCs/>
        </w:rPr>
        <w:t>To:</w:t>
      </w:r>
      <w:r w:rsidRPr="008029A0">
        <w:t xml:space="preserve"> </w:t>
      </w:r>
      <w:r w:rsidRPr="00804CB9">
        <w:rPr>
          <w:b/>
          <w:bCs/>
        </w:rPr>
        <w:t>Council</w:t>
      </w:r>
    </w:p>
    <w:p w:rsidR="00B467C8" w:rsidRDefault="00B467C8">
      <w:pPr>
        <w:tabs>
          <w:tab w:val="left" w:pos="2160"/>
        </w:tabs>
        <w:rPr>
          <w:b/>
          <w:bCs/>
        </w:rPr>
      </w:pPr>
      <w:r>
        <w:rPr>
          <w:b/>
          <w:bCs/>
        </w:rPr>
        <w:tab/>
      </w:r>
      <w:r>
        <w:rPr>
          <w:b/>
          <w:bCs/>
        </w:rPr>
        <w:tab/>
      </w:r>
      <w:r>
        <w:rPr>
          <w:b/>
          <w:bCs/>
        </w:rPr>
        <w:tab/>
      </w:r>
    </w:p>
    <w:p w:rsidR="00B467C8" w:rsidRDefault="00B467C8">
      <w:pPr>
        <w:tabs>
          <w:tab w:val="left" w:pos="2160"/>
          <w:tab w:val="left" w:pos="6300"/>
          <w:tab w:val="left" w:pos="7380"/>
        </w:tabs>
        <w:rPr>
          <w:b/>
          <w:bCs/>
        </w:rPr>
      </w:pPr>
      <w:r>
        <w:rPr>
          <w:b/>
          <w:bCs/>
        </w:rPr>
        <w:t>Date: 17</w:t>
      </w:r>
      <w:r w:rsidRPr="00804CB9">
        <w:rPr>
          <w:b/>
          <w:bCs/>
          <w:vertAlign w:val="superscript"/>
        </w:rPr>
        <w:t>th</w:t>
      </w:r>
      <w:r>
        <w:rPr>
          <w:b/>
          <w:bCs/>
        </w:rPr>
        <w:t xml:space="preserve"> December 2012</w:t>
      </w:r>
      <w:r>
        <w:rPr>
          <w:b/>
          <w:bCs/>
        </w:rPr>
        <w:tab/>
        <w:t xml:space="preserve">       </w:t>
      </w:r>
      <w:r>
        <w:rPr>
          <w:b/>
          <w:bCs/>
        </w:rPr>
        <w:tab/>
        <w:t xml:space="preserve">   </w:t>
      </w:r>
      <w:r>
        <w:rPr>
          <w:b/>
          <w:bCs/>
        </w:rPr>
        <w:tab/>
      </w:r>
    </w:p>
    <w:p w:rsidR="00B467C8" w:rsidRDefault="00B467C8">
      <w:pPr>
        <w:jc w:val="right"/>
        <w:rPr>
          <w:b/>
          <w:bCs/>
        </w:rPr>
      </w:pPr>
    </w:p>
    <w:p w:rsidR="00B467C8" w:rsidRDefault="00B467C8">
      <w:pPr>
        <w:rPr>
          <w:b/>
          <w:bCs/>
        </w:rPr>
      </w:pPr>
      <w:r>
        <w:rPr>
          <w:b/>
          <w:bCs/>
        </w:rPr>
        <w:t xml:space="preserve">Report of: </w:t>
      </w:r>
      <w:r w:rsidRPr="00804CB9">
        <w:rPr>
          <w:b/>
          <w:bCs/>
        </w:rPr>
        <w:t>Head of Policy, Culture and Communications</w:t>
      </w:r>
    </w:p>
    <w:p w:rsidR="00B467C8" w:rsidRDefault="00B467C8">
      <w:pPr>
        <w:tabs>
          <w:tab w:val="left" w:pos="2160"/>
        </w:tabs>
        <w:rPr>
          <w:b/>
          <w:bCs/>
        </w:rPr>
      </w:pPr>
    </w:p>
    <w:p w:rsidR="00B467C8" w:rsidRDefault="00B467C8">
      <w:pPr>
        <w:tabs>
          <w:tab w:val="left" w:pos="2160"/>
        </w:tabs>
        <w:rPr>
          <w:b/>
          <w:bCs/>
        </w:rPr>
      </w:pPr>
      <w:r>
        <w:rPr>
          <w:b/>
          <w:bCs/>
        </w:rPr>
        <w:t xml:space="preserve">Title of Report:  </w:t>
      </w:r>
      <w:r w:rsidRPr="00804CB9">
        <w:rPr>
          <w:b/>
          <w:bCs/>
        </w:rPr>
        <w:t>CULTURE STRATEGY 2012-15</w:t>
      </w:r>
      <w:r>
        <w:rPr>
          <w:b/>
          <w:bCs/>
        </w:rPr>
        <w:tab/>
      </w:r>
    </w:p>
    <w:p w:rsidR="00B467C8" w:rsidRDefault="00B467C8" w:rsidP="00CE64BA">
      <w:pPr>
        <w:pStyle w:val="Heading1"/>
        <w:jc w:val="center"/>
        <w:rPr>
          <w:u w:val="single"/>
        </w:rPr>
      </w:pPr>
    </w:p>
    <w:p w:rsidR="00B467C8" w:rsidRDefault="00B467C8" w:rsidP="00CE64BA">
      <w:pPr>
        <w:pStyle w:val="Heading1"/>
        <w:pBdr>
          <w:top w:val="single" w:sz="4" w:space="1" w:color="auto"/>
          <w:left w:val="single" w:sz="4" w:space="4" w:color="auto"/>
          <w:bottom w:val="single" w:sz="4" w:space="1" w:color="auto"/>
          <w:right w:val="single" w:sz="4" w:space="1" w:color="auto"/>
        </w:pBdr>
        <w:jc w:val="center"/>
        <w:rPr>
          <w:u w:val="single"/>
        </w:rPr>
      </w:pPr>
      <w:r>
        <w:rPr>
          <w:u w:val="single"/>
        </w:rPr>
        <w:t>Summary and Recommendations</w:t>
      </w:r>
    </w:p>
    <w:p w:rsidR="00B467C8" w:rsidRDefault="00B467C8" w:rsidP="00CE64BA">
      <w:pPr>
        <w:pBdr>
          <w:top w:val="single" w:sz="4" w:space="1" w:color="auto"/>
          <w:left w:val="single" w:sz="4" w:space="4" w:color="auto"/>
          <w:bottom w:val="single" w:sz="4" w:space="1" w:color="auto"/>
          <w:right w:val="single" w:sz="4" w:space="1" w:color="auto"/>
        </w:pBdr>
        <w:autoSpaceDE w:val="0"/>
        <w:autoSpaceDN w:val="0"/>
        <w:adjustRightInd w:val="0"/>
      </w:pPr>
    </w:p>
    <w:p w:rsidR="00B467C8" w:rsidRDefault="00B467C8" w:rsidP="00CE64BA">
      <w:pPr>
        <w:pBdr>
          <w:top w:val="single" w:sz="4" w:space="1" w:color="auto"/>
          <w:left w:val="single" w:sz="4" w:space="4" w:color="auto"/>
          <w:bottom w:val="single" w:sz="4" w:space="1" w:color="auto"/>
          <w:right w:val="single" w:sz="4" w:space="1" w:color="auto"/>
        </w:pBdr>
        <w:autoSpaceDE w:val="0"/>
        <w:autoSpaceDN w:val="0"/>
        <w:adjustRightInd w:val="0"/>
        <w:rPr>
          <w:rFonts w:ascii="TT123D8o00" w:hAnsi="TT123D8o00" w:cs="TT123D8o00"/>
          <w:lang w:eastAsia="en-GB"/>
        </w:rPr>
      </w:pPr>
      <w:r>
        <w:rPr>
          <w:b/>
          <w:bCs/>
        </w:rPr>
        <w:t>Purpose of report</w:t>
      </w:r>
      <w:r>
        <w:t xml:space="preserve">: </w:t>
      </w:r>
      <w:r>
        <w:rPr>
          <w:rFonts w:ascii="TT123D8o00" w:hAnsi="TT123D8o00" w:cs="TT123D8o00"/>
          <w:lang w:eastAsia="en-GB"/>
        </w:rPr>
        <w:t>This report provides background to the development</w:t>
      </w:r>
    </w:p>
    <w:p w:rsidR="00B467C8" w:rsidRDefault="00B467C8" w:rsidP="00CE64BA">
      <w:pPr>
        <w:pBdr>
          <w:top w:val="single" w:sz="4" w:space="1" w:color="auto"/>
          <w:left w:val="single" w:sz="4" w:space="4" w:color="auto"/>
          <w:bottom w:val="single" w:sz="4" w:space="1" w:color="auto"/>
          <w:right w:val="single" w:sz="4" w:space="1" w:color="auto"/>
        </w:pBdr>
        <w:autoSpaceDE w:val="0"/>
        <w:autoSpaceDN w:val="0"/>
        <w:adjustRightInd w:val="0"/>
        <w:rPr>
          <w:rFonts w:ascii="TT123D8o00" w:hAnsi="TT123D8o00" w:cs="TT123D8o00"/>
          <w:lang w:eastAsia="en-GB"/>
        </w:rPr>
      </w:pPr>
      <w:r>
        <w:rPr>
          <w:rFonts w:ascii="TT123D8o00" w:hAnsi="TT123D8o00" w:cs="TT123D8o00"/>
          <w:lang w:eastAsia="en-GB"/>
        </w:rPr>
        <w:t>of the Culture Strategy and an overview of the vision and priorities of the proposed Culture Strategy 2012-15.</w:t>
      </w:r>
    </w:p>
    <w:p w:rsidR="00B467C8" w:rsidRDefault="00B467C8" w:rsidP="00CE64BA">
      <w:pPr>
        <w:pBdr>
          <w:top w:val="single" w:sz="4" w:space="1" w:color="auto"/>
          <w:left w:val="single" w:sz="4" w:space="4" w:color="auto"/>
          <w:bottom w:val="single" w:sz="4" w:space="1" w:color="auto"/>
          <w:right w:val="single" w:sz="4" w:space="1" w:color="auto"/>
        </w:pBdr>
      </w:pPr>
      <w:r>
        <w:tab/>
      </w:r>
      <w:r>
        <w:tab/>
      </w:r>
      <w:r>
        <w:tab/>
      </w:r>
      <w:r>
        <w:tab/>
      </w:r>
      <w:r>
        <w:tab/>
      </w:r>
    </w:p>
    <w:p w:rsidR="00B467C8" w:rsidRDefault="00B467C8" w:rsidP="00CE64BA">
      <w:pPr>
        <w:pStyle w:val="Heading1"/>
        <w:pBdr>
          <w:top w:val="single" w:sz="4" w:space="1" w:color="auto"/>
          <w:left w:val="single" w:sz="4" w:space="4" w:color="auto"/>
          <w:bottom w:val="single" w:sz="4" w:space="1" w:color="auto"/>
          <w:right w:val="single" w:sz="4" w:space="1" w:color="auto"/>
        </w:pBdr>
        <w:tabs>
          <w:tab w:val="left" w:pos="3062"/>
        </w:tabs>
      </w:pPr>
      <w:r>
        <w:t xml:space="preserve">Key decision? </w:t>
      </w:r>
      <w:r w:rsidRPr="00766930">
        <w:rPr>
          <w:b w:val="0"/>
          <w:bCs w:val="0"/>
        </w:rPr>
        <w:t>No</w:t>
      </w:r>
    </w:p>
    <w:p w:rsidR="00B467C8" w:rsidRDefault="00B467C8" w:rsidP="00CE64BA">
      <w:pPr>
        <w:pBdr>
          <w:top w:val="single" w:sz="4" w:space="1" w:color="auto"/>
          <w:left w:val="single" w:sz="4" w:space="4" w:color="auto"/>
          <w:bottom w:val="single" w:sz="4" w:space="1" w:color="auto"/>
          <w:right w:val="single" w:sz="4" w:space="1" w:color="auto"/>
        </w:pBdr>
      </w:pPr>
    </w:p>
    <w:p w:rsidR="00B467C8" w:rsidRDefault="00B467C8" w:rsidP="00CE64BA">
      <w:pPr>
        <w:pBdr>
          <w:top w:val="single" w:sz="4" w:space="1" w:color="auto"/>
          <w:left w:val="single" w:sz="4" w:space="4" w:color="auto"/>
          <w:bottom w:val="single" w:sz="4" w:space="1" w:color="auto"/>
          <w:right w:val="single" w:sz="4" w:space="1" w:color="auto"/>
        </w:pBdr>
      </w:pPr>
      <w:r>
        <w:rPr>
          <w:b/>
          <w:bCs/>
        </w:rPr>
        <w:t xml:space="preserve">Executive lead member: </w:t>
      </w:r>
      <w:r w:rsidRPr="00CE64BA">
        <w:t>Councillor Bob Price</w:t>
      </w:r>
    </w:p>
    <w:p w:rsidR="00B467C8" w:rsidRDefault="00B467C8" w:rsidP="00CE64BA">
      <w:pPr>
        <w:pBdr>
          <w:top w:val="single" w:sz="4" w:space="1" w:color="auto"/>
          <w:left w:val="single" w:sz="4" w:space="4" w:color="auto"/>
          <w:bottom w:val="single" w:sz="4" w:space="1" w:color="auto"/>
          <w:right w:val="single" w:sz="4" w:space="1" w:color="auto"/>
        </w:pBdr>
      </w:pPr>
    </w:p>
    <w:p w:rsidR="00B467C8" w:rsidRDefault="00B467C8" w:rsidP="00072964">
      <w:pPr>
        <w:pBdr>
          <w:top w:val="single" w:sz="4" w:space="1" w:color="auto"/>
          <w:left w:val="single" w:sz="4" w:space="4" w:color="auto"/>
          <w:bottom w:val="single" w:sz="4" w:space="1" w:color="auto"/>
          <w:right w:val="single" w:sz="4" w:space="1" w:color="auto"/>
        </w:pBdr>
        <w:rPr>
          <w:b/>
          <w:bCs/>
        </w:rPr>
      </w:pPr>
      <w:r w:rsidRPr="00804CB9">
        <w:rPr>
          <w:b/>
          <w:bCs/>
        </w:rPr>
        <w:t>Report approved by</w:t>
      </w:r>
      <w:r>
        <w:rPr>
          <w:b/>
          <w:bCs/>
        </w:rPr>
        <w:t xml:space="preserve">: </w:t>
      </w:r>
    </w:p>
    <w:p w:rsidR="00B467C8" w:rsidRDefault="00B467C8" w:rsidP="00072964">
      <w:pPr>
        <w:pBdr>
          <w:top w:val="single" w:sz="4" w:space="1" w:color="auto"/>
          <w:left w:val="single" w:sz="4" w:space="4" w:color="auto"/>
          <w:bottom w:val="single" w:sz="4" w:space="1" w:color="auto"/>
          <w:right w:val="single" w:sz="4" w:space="1" w:color="auto"/>
        </w:pBdr>
        <w:rPr>
          <w:b/>
          <w:bCs/>
        </w:rPr>
      </w:pPr>
    </w:p>
    <w:p w:rsidR="00B467C8" w:rsidRDefault="00B467C8" w:rsidP="00072964">
      <w:pPr>
        <w:pBdr>
          <w:top w:val="single" w:sz="4" w:space="1" w:color="auto"/>
          <w:left w:val="single" w:sz="4" w:space="4" w:color="auto"/>
          <w:bottom w:val="single" w:sz="4" w:space="1" w:color="auto"/>
          <w:right w:val="single" w:sz="4" w:space="1" w:color="auto"/>
        </w:pBdr>
      </w:pPr>
      <w:r>
        <w:rPr>
          <w:b/>
          <w:bCs/>
        </w:rPr>
        <w:t xml:space="preserve">Legal: </w:t>
      </w:r>
      <w:r>
        <w:t>Lindsay Cane</w:t>
      </w:r>
    </w:p>
    <w:p w:rsidR="00B467C8" w:rsidRPr="00072964" w:rsidRDefault="00B467C8" w:rsidP="00072964">
      <w:pPr>
        <w:pBdr>
          <w:top w:val="single" w:sz="4" w:space="1" w:color="auto"/>
          <w:left w:val="single" w:sz="4" w:space="4" w:color="auto"/>
          <w:bottom w:val="single" w:sz="4" w:space="1" w:color="auto"/>
          <w:right w:val="single" w:sz="4" w:space="1" w:color="auto"/>
        </w:pBdr>
      </w:pPr>
      <w:r>
        <w:rPr>
          <w:b/>
          <w:bCs/>
        </w:rPr>
        <w:t>Finance:</w:t>
      </w:r>
      <w:r>
        <w:t xml:space="preserve"> Paul Swaffield</w:t>
      </w:r>
    </w:p>
    <w:p w:rsidR="00B467C8" w:rsidRPr="00072964" w:rsidRDefault="00B467C8" w:rsidP="00072964">
      <w:pPr>
        <w:pBdr>
          <w:top w:val="single" w:sz="4" w:space="1" w:color="auto"/>
          <w:left w:val="single" w:sz="4" w:space="4" w:color="auto"/>
          <w:bottom w:val="single" w:sz="4" w:space="1" w:color="auto"/>
          <w:right w:val="single" w:sz="4" w:space="1" w:color="auto"/>
        </w:pBdr>
        <w:rPr>
          <w:b/>
          <w:bCs/>
        </w:rPr>
      </w:pPr>
    </w:p>
    <w:p w:rsidR="00B467C8" w:rsidRPr="006E56BA" w:rsidRDefault="00B467C8" w:rsidP="006E56BA">
      <w:pPr>
        <w:pBdr>
          <w:top w:val="single" w:sz="4" w:space="1" w:color="auto"/>
          <w:left w:val="single" w:sz="4" w:space="4" w:color="auto"/>
          <w:bottom w:val="single" w:sz="4" w:space="1" w:color="auto"/>
          <w:right w:val="single" w:sz="4" w:space="1" w:color="auto"/>
        </w:pBdr>
        <w:autoSpaceDE w:val="0"/>
        <w:autoSpaceDN w:val="0"/>
        <w:adjustRightInd w:val="0"/>
        <w:rPr>
          <w:rFonts w:ascii="TT123D8o00" w:hAnsi="TT123D8o00" w:cs="TT123D8o00"/>
          <w:lang w:eastAsia="en-GB"/>
        </w:rPr>
      </w:pPr>
      <w:r>
        <w:rPr>
          <w:b/>
          <w:bCs/>
        </w:rPr>
        <w:t xml:space="preserve">Policy Framework: </w:t>
      </w:r>
      <w:r>
        <w:rPr>
          <w:rFonts w:ascii="TT123D8o00" w:hAnsi="TT123D8o00" w:cs="TT123D8o00"/>
          <w:lang w:eastAsia="en-GB"/>
        </w:rPr>
        <w:t>Corporate Plan 2012-2016: Strong Active, Communities and Vibrant, Sustainable Economy; Oxford City.</w:t>
      </w:r>
    </w:p>
    <w:p w:rsidR="00B467C8" w:rsidRPr="00804CB9" w:rsidRDefault="00B467C8" w:rsidP="00CE64BA">
      <w:pPr>
        <w:pStyle w:val="Heading1"/>
        <w:pBdr>
          <w:top w:val="single" w:sz="4" w:space="1" w:color="auto"/>
          <w:left w:val="single" w:sz="4" w:space="4" w:color="auto"/>
          <w:bottom w:val="single" w:sz="4" w:space="1" w:color="auto"/>
          <w:right w:val="single" w:sz="4" w:space="1" w:color="auto"/>
        </w:pBdr>
        <w:rPr>
          <w:b w:val="0"/>
          <w:bCs w:val="0"/>
        </w:rPr>
      </w:pPr>
    </w:p>
    <w:p w:rsidR="00B467C8" w:rsidRDefault="00B467C8" w:rsidP="00CE64BA">
      <w:pPr>
        <w:pBdr>
          <w:top w:val="single" w:sz="4" w:space="1" w:color="auto"/>
          <w:left w:val="single" w:sz="4" w:space="4" w:color="auto"/>
          <w:bottom w:val="single" w:sz="4" w:space="1" w:color="auto"/>
          <w:right w:val="single" w:sz="4" w:space="1" w:color="auto"/>
        </w:pBdr>
        <w:tabs>
          <w:tab w:val="left" w:pos="3048"/>
        </w:tabs>
        <w:rPr>
          <w:b/>
          <w:bCs/>
        </w:rPr>
      </w:pPr>
      <w:r>
        <w:rPr>
          <w:b/>
          <w:bCs/>
        </w:rPr>
        <w:t xml:space="preserve">Recommendation: </w:t>
      </w:r>
      <w:r>
        <w:rPr>
          <w:rFonts w:ascii="TT123D8o00" w:hAnsi="TT123D8o00" w:cs="TT123D8o00"/>
          <w:lang w:eastAsia="en-GB"/>
        </w:rPr>
        <w:t>That Council approves and adopts the new Culture strategy as set out at Appendix 1.</w:t>
      </w:r>
    </w:p>
    <w:p w:rsidR="00B467C8" w:rsidRDefault="00B467C8"/>
    <w:p w:rsidR="00B467C8" w:rsidRDefault="00B467C8">
      <w:pPr>
        <w:rPr>
          <w:b/>
          <w:bCs/>
          <w:u w:val="single"/>
        </w:rPr>
      </w:pPr>
      <w:r w:rsidRPr="00CE64BA">
        <w:rPr>
          <w:b/>
          <w:bCs/>
          <w:u w:val="single"/>
        </w:rPr>
        <w:t>Appendices to report</w:t>
      </w:r>
    </w:p>
    <w:p w:rsidR="00B467C8" w:rsidRPr="00804CB9" w:rsidRDefault="00B467C8"/>
    <w:p w:rsidR="00B467C8" w:rsidRDefault="00B467C8" w:rsidP="00CE64BA">
      <w:pPr>
        <w:autoSpaceDE w:val="0"/>
        <w:autoSpaceDN w:val="0"/>
        <w:adjustRightInd w:val="0"/>
        <w:rPr>
          <w:rFonts w:ascii="TT123D9o00" w:hAnsi="TT123D9o00" w:cs="TT123D9o00"/>
          <w:lang w:eastAsia="en-GB"/>
        </w:rPr>
      </w:pPr>
      <w:r>
        <w:rPr>
          <w:rFonts w:ascii="TT123D9o00" w:hAnsi="TT123D9o00" w:cs="TT123D9o00"/>
          <w:lang w:eastAsia="en-GB"/>
        </w:rPr>
        <w:t>Appendix 1: Culture Strategy 2012-15 (this will be sent to a professional proof reader following Council meeting on 14 December)</w:t>
      </w:r>
    </w:p>
    <w:p w:rsidR="00B467C8" w:rsidRDefault="00B467C8" w:rsidP="00CE64BA">
      <w:pPr>
        <w:autoSpaceDE w:val="0"/>
        <w:autoSpaceDN w:val="0"/>
        <w:adjustRightInd w:val="0"/>
        <w:rPr>
          <w:rFonts w:ascii="TT123D9o00" w:hAnsi="TT123D9o00" w:cs="TT123D9o00"/>
          <w:lang w:eastAsia="en-GB"/>
        </w:rPr>
      </w:pPr>
      <w:r>
        <w:rPr>
          <w:rFonts w:ascii="TT123D9o00" w:hAnsi="TT123D9o00" w:cs="TT123D9o00"/>
          <w:lang w:eastAsia="en-GB"/>
        </w:rPr>
        <w:t>Appendix 2: Equalities Impact Assessment</w:t>
      </w:r>
    </w:p>
    <w:p w:rsidR="00B467C8" w:rsidRDefault="00B467C8" w:rsidP="00CE64BA">
      <w:r>
        <w:rPr>
          <w:rFonts w:ascii="TT123D9o00" w:hAnsi="TT123D9o00" w:cs="TT123D9o00"/>
          <w:lang w:eastAsia="en-GB"/>
        </w:rPr>
        <w:t>Appendices 3: Risk Assessment</w:t>
      </w:r>
    </w:p>
    <w:p w:rsidR="00B467C8" w:rsidRDefault="00B467C8" w:rsidP="009F6321">
      <w:pPr>
        <w:autoSpaceDE w:val="0"/>
        <w:autoSpaceDN w:val="0"/>
        <w:adjustRightInd w:val="0"/>
      </w:pPr>
    </w:p>
    <w:p w:rsidR="00B467C8" w:rsidRDefault="00B467C8" w:rsidP="009F6321">
      <w:pPr>
        <w:autoSpaceDE w:val="0"/>
        <w:autoSpaceDN w:val="0"/>
        <w:adjustRightInd w:val="0"/>
        <w:rPr>
          <w:b/>
          <w:bCs/>
          <w:u w:val="single"/>
          <w:lang w:eastAsia="en-GB"/>
        </w:rPr>
      </w:pPr>
      <w:r w:rsidRPr="009F6321">
        <w:rPr>
          <w:b/>
          <w:bCs/>
          <w:u w:val="single"/>
          <w:lang w:eastAsia="en-GB"/>
        </w:rPr>
        <w:t>Background</w:t>
      </w:r>
    </w:p>
    <w:p w:rsidR="00B467C8" w:rsidRDefault="00B467C8" w:rsidP="009F6321">
      <w:pPr>
        <w:autoSpaceDE w:val="0"/>
        <w:autoSpaceDN w:val="0"/>
        <w:adjustRightInd w:val="0"/>
        <w:rPr>
          <w:lang w:eastAsia="en-GB"/>
        </w:rPr>
      </w:pPr>
    </w:p>
    <w:p w:rsidR="00B467C8" w:rsidRDefault="00B467C8" w:rsidP="0030147F">
      <w:pPr>
        <w:numPr>
          <w:ilvl w:val="0"/>
          <w:numId w:val="3"/>
        </w:numPr>
        <w:autoSpaceDE w:val="0"/>
        <w:autoSpaceDN w:val="0"/>
        <w:adjustRightInd w:val="0"/>
        <w:rPr>
          <w:rFonts w:ascii="TT123D9o00" w:hAnsi="TT123D9o00" w:cs="TT123D9o00"/>
          <w:lang w:eastAsia="en-GB"/>
        </w:rPr>
      </w:pPr>
      <w:r>
        <w:rPr>
          <w:rFonts w:ascii="TT123D9o00" w:hAnsi="TT123D9o00" w:cs="TT123D9o00"/>
          <w:lang w:eastAsia="en-GB"/>
        </w:rPr>
        <w:t>The 2009-2012 Culture Strategy played an important role in: developing partnerships; setting benchmarks for the evaluation of cultural provision to Oxford’s communities; highlighting the Council’s commitment to cultural regeneration through new projects; enhanced public realm activity; as well as supporting organisations to offer subsidised ticket schemes for young people in particular. In the past three years, Oxford has seen vast improvements in the quality of buildings delivering culture - Pegasus Theatre, Modern Art Oxford, the Ashmolean, plus the redevelopment of the Old Fire Station. An evaluation of the Council’s Culture Strategy 2009-12 has been completed and was reported to City Executive Board on 8</w:t>
      </w:r>
      <w:r>
        <w:rPr>
          <w:rFonts w:ascii="TT123DDo00" w:hAnsi="TT123DDo00" w:cs="TT123DDo00"/>
          <w:sz w:val="16"/>
          <w:szCs w:val="16"/>
          <w:lang w:eastAsia="en-GB"/>
        </w:rPr>
        <w:t xml:space="preserve">th </w:t>
      </w:r>
      <w:r>
        <w:rPr>
          <w:rFonts w:ascii="TT123D9o00" w:hAnsi="TT123D9o00" w:cs="TT123D9o00"/>
          <w:lang w:eastAsia="en-GB"/>
        </w:rPr>
        <w:t>April 2012.</w:t>
      </w:r>
    </w:p>
    <w:p w:rsidR="00B467C8" w:rsidRDefault="00B467C8" w:rsidP="0030147F">
      <w:pPr>
        <w:autoSpaceDE w:val="0"/>
        <w:autoSpaceDN w:val="0"/>
        <w:adjustRightInd w:val="0"/>
        <w:ind w:left="360"/>
        <w:rPr>
          <w:rFonts w:ascii="TT123D9o00" w:hAnsi="TT123D9o00" w:cs="TT123D9o00"/>
          <w:lang w:eastAsia="en-GB"/>
        </w:rPr>
      </w:pPr>
    </w:p>
    <w:p w:rsidR="00B467C8" w:rsidRDefault="00B467C8" w:rsidP="0030147F">
      <w:pPr>
        <w:numPr>
          <w:ilvl w:val="0"/>
          <w:numId w:val="3"/>
        </w:numPr>
        <w:autoSpaceDE w:val="0"/>
        <w:autoSpaceDN w:val="0"/>
        <w:adjustRightInd w:val="0"/>
        <w:rPr>
          <w:rFonts w:ascii="TT123D9o00" w:hAnsi="TT123D9o00" w:cs="TT123D9o00"/>
          <w:lang w:eastAsia="en-GB"/>
        </w:rPr>
      </w:pPr>
      <w:r>
        <w:rPr>
          <w:rFonts w:ascii="TT123D9o00" w:hAnsi="TT123D9o00" w:cs="TT123D9o00"/>
          <w:lang w:eastAsia="en-GB"/>
        </w:rPr>
        <w:t>Since the publication of the last Culture Strategy there have been substantial changes to Government policies, restructuring of the national, regional and local development agencies, a downturn in the economy and reduced funding for arts and culture. Cultural organisations find themselves competing locally and externally for ever-decreasing pots of money.</w:t>
      </w:r>
    </w:p>
    <w:p w:rsidR="00B467C8" w:rsidRDefault="00B467C8" w:rsidP="0030147F">
      <w:pPr>
        <w:autoSpaceDE w:val="0"/>
        <w:autoSpaceDN w:val="0"/>
        <w:adjustRightInd w:val="0"/>
        <w:rPr>
          <w:rFonts w:ascii="TT123D9o00" w:hAnsi="TT123D9o00" w:cs="TT123D9o00"/>
          <w:lang w:eastAsia="en-GB"/>
        </w:rPr>
      </w:pPr>
    </w:p>
    <w:p w:rsidR="00B467C8" w:rsidRDefault="00B467C8" w:rsidP="0030147F">
      <w:pPr>
        <w:numPr>
          <w:ilvl w:val="0"/>
          <w:numId w:val="3"/>
        </w:numPr>
        <w:autoSpaceDE w:val="0"/>
        <w:autoSpaceDN w:val="0"/>
        <w:adjustRightInd w:val="0"/>
        <w:rPr>
          <w:rFonts w:ascii="TT123D9o00" w:hAnsi="TT123D9o00" w:cs="TT123D9o00"/>
          <w:lang w:eastAsia="en-GB"/>
        </w:rPr>
      </w:pPr>
      <w:r>
        <w:rPr>
          <w:rFonts w:ascii="TT123D9o00" w:hAnsi="TT123D9o00" w:cs="TT123D9o00"/>
          <w:lang w:eastAsia="en-GB"/>
        </w:rPr>
        <w:t xml:space="preserve">It will become increasingly important to identify efficiencies and delivery models that encompass different partners, investors and agencies over the next three to five years. Our new Culture Strategy is ambitious and also realistic in its ability to support and innovate. </w:t>
      </w:r>
    </w:p>
    <w:p w:rsidR="00B467C8" w:rsidRDefault="00B467C8" w:rsidP="0030147F">
      <w:pPr>
        <w:autoSpaceDE w:val="0"/>
        <w:autoSpaceDN w:val="0"/>
        <w:adjustRightInd w:val="0"/>
        <w:rPr>
          <w:rFonts w:ascii="TT123D9o00" w:hAnsi="TT123D9o00" w:cs="TT123D9o00"/>
          <w:lang w:eastAsia="en-GB"/>
        </w:rPr>
      </w:pPr>
    </w:p>
    <w:p w:rsidR="00B467C8" w:rsidRPr="0030147F" w:rsidRDefault="00B467C8" w:rsidP="0030147F">
      <w:pPr>
        <w:numPr>
          <w:ilvl w:val="0"/>
          <w:numId w:val="3"/>
        </w:numPr>
        <w:autoSpaceDE w:val="0"/>
        <w:autoSpaceDN w:val="0"/>
        <w:adjustRightInd w:val="0"/>
        <w:rPr>
          <w:rFonts w:ascii="TT123D9o00" w:hAnsi="TT123D9o00" w:cs="TT123D9o00"/>
          <w:lang w:eastAsia="en-GB"/>
        </w:rPr>
      </w:pPr>
      <w:r>
        <w:rPr>
          <w:rFonts w:ascii="TT123D9o00" w:hAnsi="TT123D9o00" w:cs="TT123D9o00"/>
          <w:lang w:eastAsia="en-GB"/>
        </w:rPr>
        <w:t>Also, what was not sufficiently explicit in the last strategy was the link between the vision and the city’s demography. The levels of disadvantage in the city underpin the City Council’s belief that access to high quality cultural experiences can play a significant role in social regeneration. We aim to work through partnerships to create a truly “joined-up” Oxford for our local communities.</w:t>
      </w:r>
    </w:p>
    <w:p w:rsidR="00B467C8" w:rsidRDefault="00B467C8" w:rsidP="009F6321">
      <w:pPr>
        <w:autoSpaceDE w:val="0"/>
        <w:autoSpaceDN w:val="0"/>
        <w:adjustRightInd w:val="0"/>
        <w:rPr>
          <w:lang w:eastAsia="en-GB"/>
        </w:rPr>
      </w:pPr>
    </w:p>
    <w:p w:rsidR="00B467C8" w:rsidRDefault="00B467C8" w:rsidP="009F6321">
      <w:pPr>
        <w:autoSpaceDE w:val="0"/>
        <w:autoSpaceDN w:val="0"/>
        <w:adjustRightInd w:val="0"/>
        <w:rPr>
          <w:lang w:eastAsia="en-GB"/>
        </w:rPr>
      </w:pPr>
      <w:r w:rsidRPr="009F6321">
        <w:rPr>
          <w:b/>
          <w:bCs/>
          <w:u w:val="single"/>
          <w:lang w:eastAsia="en-GB"/>
        </w:rPr>
        <w:t>Consultation</w:t>
      </w:r>
      <w:r>
        <w:rPr>
          <w:lang w:eastAsia="en-GB"/>
        </w:rPr>
        <w:t xml:space="preserve"> </w:t>
      </w:r>
    </w:p>
    <w:p w:rsidR="00B467C8" w:rsidRDefault="00B467C8" w:rsidP="009F6321">
      <w:pPr>
        <w:autoSpaceDE w:val="0"/>
        <w:autoSpaceDN w:val="0"/>
        <w:adjustRightInd w:val="0"/>
        <w:rPr>
          <w:lang w:eastAsia="en-GB"/>
        </w:rPr>
      </w:pPr>
    </w:p>
    <w:p w:rsidR="00B467C8" w:rsidRPr="00202670" w:rsidRDefault="00B467C8" w:rsidP="00372780">
      <w:pPr>
        <w:numPr>
          <w:ilvl w:val="0"/>
          <w:numId w:val="3"/>
        </w:numPr>
        <w:autoSpaceDE w:val="0"/>
        <w:autoSpaceDN w:val="0"/>
        <w:adjustRightInd w:val="0"/>
        <w:rPr>
          <w:rFonts w:ascii="TT123D9o00" w:hAnsi="TT123D9o00" w:cs="TT123D9o00"/>
          <w:lang w:eastAsia="en-GB"/>
        </w:rPr>
      </w:pPr>
      <w:r w:rsidRPr="00202670">
        <w:rPr>
          <w:rFonts w:ascii="TT123D9o00" w:hAnsi="TT123D9o00" w:cs="TT123D9o00"/>
          <w:lang w:eastAsia="en-GB"/>
        </w:rPr>
        <w:t>Invitations to join the consultation were emailed to a comprehensive database of around 500 Oxford-based cultural, educational and community organisations. Those who responded to the consultation welcomed the focus on young people and the strong and “inspiring” vision it offered for culture in Oxford. Consultation comments also recognised that the Culture Strategy will play a major role in strengthening both the local economy and the quality of life of Oxford’s residents.</w:t>
      </w:r>
    </w:p>
    <w:p w:rsidR="00B467C8" w:rsidRDefault="00B467C8" w:rsidP="00372780">
      <w:pPr>
        <w:pStyle w:val="ListParagraph"/>
        <w:rPr>
          <w:rFonts w:ascii="TT123D9o00" w:hAnsi="TT123D9o00" w:cs="TT123D9o00"/>
          <w:lang w:eastAsia="en-GB"/>
        </w:rPr>
      </w:pPr>
    </w:p>
    <w:p w:rsidR="00B467C8" w:rsidRPr="00372780" w:rsidRDefault="00B467C8" w:rsidP="00372780">
      <w:pPr>
        <w:numPr>
          <w:ilvl w:val="0"/>
          <w:numId w:val="3"/>
        </w:numPr>
        <w:autoSpaceDE w:val="0"/>
        <w:autoSpaceDN w:val="0"/>
        <w:adjustRightInd w:val="0"/>
        <w:rPr>
          <w:lang w:eastAsia="en-GB"/>
        </w:rPr>
      </w:pPr>
      <w:r w:rsidRPr="00372780">
        <w:rPr>
          <w:rFonts w:ascii="TT123D9o00" w:hAnsi="TT123D9o00" w:cs="TT123D9o00"/>
          <w:lang w:eastAsia="en-GB"/>
        </w:rPr>
        <w:t>Suggestions from the consultation included requests for a more explicit focus on diversity and tourism, a commitment to non-financial forms of support as well as funding, and clarity on how the Culture Strategy will be implemented with the widest range of comm</w:t>
      </w:r>
      <w:r>
        <w:rPr>
          <w:rFonts w:ascii="TT123D9o00" w:hAnsi="TT123D9o00" w:cs="TT123D9o00"/>
          <w:lang w:eastAsia="en-GB"/>
        </w:rPr>
        <w:t>unities and groups</w:t>
      </w:r>
      <w:r w:rsidRPr="00372780">
        <w:rPr>
          <w:rFonts w:ascii="TT123D9o00" w:hAnsi="TT123D9o00" w:cs="TT123D9o00"/>
          <w:lang w:eastAsia="en-GB"/>
        </w:rPr>
        <w:t>, smaller organisations and the amateur</w:t>
      </w:r>
      <w:r>
        <w:rPr>
          <w:rFonts w:ascii="TT123D9o00" w:hAnsi="TT123D9o00" w:cs="TT123D9o00"/>
          <w:lang w:eastAsia="en-GB"/>
        </w:rPr>
        <w:t xml:space="preserve"> </w:t>
      </w:r>
      <w:r w:rsidRPr="00372780">
        <w:rPr>
          <w:rFonts w:ascii="TT123D9o00" w:hAnsi="TT123D9o00" w:cs="TT123D9o00"/>
          <w:lang w:eastAsia="en-GB"/>
        </w:rPr>
        <w:t>arts sector.</w:t>
      </w:r>
    </w:p>
    <w:p w:rsidR="00B467C8" w:rsidRDefault="00B467C8" w:rsidP="00372780">
      <w:pPr>
        <w:pStyle w:val="ListParagraph"/>
        <w:rPr>
          <w:lang w:eastAsia="en-GB"/>
        </w:rPr>
      </w:pPr>
    </w:p>
    <w:p w:rsidR="00B467C8" w:rsidRPr="00372780" w:rsidRDefault="00B467C8" w:rsidP="00372780">
      <w:pPr>
        <w:numPr>
          <w:ilvl w:val="0"/>
          <w:numId w:val="3"/>
        </w:numPr>
        <w:autoSpaceDE w:val="0"/>
        <w:autoSpaceDN w:val="0"/>
        <w:adjustRightInd w:val="0"/>
        <w:rPr>
          <w:lang w:eastAsia="en-GB"/>
        </w:rPr>
      </w:pPr>
      <w:r>
        <w:rPr>
          <w:lang w:eastAsia="en-GB"/>
        </w:rPr>
        <w:t>The Culture Strategy was revised following this public consultation and the updated version was approved at City Executive Board on 12 September 2012. It was agreed that suggestions from Councillor Jim Campbell should be taken into account in the final version. Following a meeting with Cllrs Bob Price and Jim Campbell on 24 September 2012, these suggestions have been taken into account in this final version of the strategy.</w:t>
      </w:r>
    </w:p>
    <w:p w:rsidR="00B467C8" w:rsidRDefault="00B467C8" w:rsidP="009F6321">
      <w:pPr>
        <w:autoSpaceDE w:val="0"/>
        <w:autoSpaceDN w:val="0"/>
        <w:adjustRightInd w:val="0"/>
        <w:rPr>
          <w:lang w:eastAsia="en-GB"/>
        </w:rPr>
      </w:pPr>
    </w:p>
    <w:p w:rsidR="00B467C8" w:rsidRDefault="00B467C8" w:rsidP="00202670">
      <w:pPr>
        <w:autoSpaceDE w:val="0"/>
        <w:autoSpaceDN w:val="0"/>
        <w:adjustRightInd w:val="0"/>
        <w:rPr>
          <w:b/>
          <w:bCs/>
          <w:u w:val="single"/>
          <w:lang w:eastAsia="en-GB"/>
        </w:rPr>
      </w:pPr>
      <w:r w:rsidRPr="009F6321">
        <w:rPr>
          <w:b/>
          <w:bCs/>
          <w:u w:val="single"/>
          <w:lang w:eastAsia="en-GB"/>
        </w:rPr>
        <w:t>Vision and priorities</w:t>
      </w:r>
    </w:p>
    <w:p w:rsidR="00B467C8" w:rsidRDefault="00B467C8" w:rsidP="00202670">
      <w:pPr>
        <w:autoSpaceDE w:val="0"/>
        <w:autoSpaceDN w:val="0"/>
        <w:adjustRightInd w:val="0"/>
        <w:rPr>
          <w:rFonts w:ascii="TT123D9o00" w:hAnsi="TT123D9o00" w:cs="TT123D9o00"/>
          <w:lang w:eastAsia="en-GB"/>
        </w:rPr>
      </w:pPr>
    </w:p>
    <w:p w:rsidR="00B467C8" w:rsidRPr="009D6577" w:rsidRDefault="00B467C8" w:rsidP="009D6577">
      <w:pPr>
        <w:numPr>
          <w:ilvl w:val="0"/>
          <w:numId w:val="3"/>
        </w:numPr>
      </w:pPr>
      <w:r w:rsidRPr="009D6577">
        <w:t>Our shared vision for culture is:</w:t>
      </w:r>
    </w:p>
    <w:p w:rsidR="00B467C8" w:rsidRPr="009D6577" w:rsidRDefault="00B467C8" w:rsidP="009D6577">
      <w:pPr>
        <w:ind w:left="720"/>
        <w:rPr>
          <w:i/>
          <w:iCs/>
        </w:rPr>
      </w:pPr>
      <w:r w:rsidRPr="009D6577">
        <w:rPr>
          <w:i/>
          <w:iCs/>
        </w:rPr>
        <w:t xml:space="preserve">To work in partnership with Oxford’s key stakeholders and cultural partners to develop and promote cultural activities and events that enhance and leave a legacy </w:t>
      </w:r>
      <w:r>
        <w:rPr>
          <w:i/>
          <w:iCs/>
        </w:rPr>
        <w:t xml:space="preserve">in the lives of individuals and </w:t>
      </w:r>
      <w:r w:rsidRPr="009D6577">
        <w:rPr>
          <w:i/>
          <w:iCs/>
        </w:rPr>
        <w:t>communities, offer affordable, excellent experiences, encourage attainment amongst young people and promote cultural ambition.</w:t>
      </w:r>
    </w:p>
    <w:p w:rsidR="00B467C8" w:rsidRPr="009D6577" w:rsidRDefault="00B467C8" w:rsidP="009D6577">
      <w:pPr>
        <w:autoSpaceDE w:val="0"/>
        <w:autoSpaceDN w:val="0"/>
        <w:adjustRightInd w:val="0"/>
        <w:ind w:left="720"/>
        <w:rPr>
          <w:lang w:eastAsia="en-GB"/>
        </w:rPr>
      </w:pPr>
    </w:p>
    <w:p w:rsidR="00B467C8" w:rsidRDefault="00B467C8" w:rsidP="00804CB9">
      <w:pPr>
        <w:numPr>
          <w:ilvl w:val="0"/>
          <w:numId w:val="3"/>
        </w:numPr>
        <w:autoSpaceDE w:val="0"/>
        <w:autoSpaceDN w:val="0"/>
        <w:adjustRightInd w:val="0"/>
        <w:rPr>
          <w:lang w:eastAsia="en-GB"/>
        </w:rPr>
      </w:pPr>
      <w:r>
        <w:rPr>
          <w:rFonts w:ascii="TT123D9o00" w:hAnsi="TT123D9o00" w:cs="TT123D9o00"/>
          <w:lang w:eastAsia="en-GB"/>
        </w:rPr>
        <w:t xml:space="preserve">Our three </w:t>
      </w:r>
      <w:r w:rsidRPr="009D6577">
        <w:rPr>
          <w:lang w:eastAsia="en-GB"/>
        </w:rPr>
        <w:t>key priorities are</w:t>
      </w:r>
      <w:r>
        <w:rPr>
          <w:lang w:eastAsia="en-GB"/>
        </w:rPr>
        <w:t xml:space="preserve"> to</w:t>
      </w:r>
      <w:r w:rsidRPr="009D6577">
        <w:rPr>
          <w:lang w:eastAsia="en-GB"/>
        </w:rPr>
        <w:t xml:space="preserve">: </w:t>
      </w:r>
    </w:p>
    <w:p w:rsidR="00B467C8" w:rsidRPr="009D6577" w:rsidRDefault="00B467C8" w:rsidP="00804CB9">
      <w:pPr>
        <w:autoSpaceDE w:val="0"/>
        <w:autoSpaceDN w:val="0"/>
        <w:adjustRightInd w:val="0"/>
        <w:rPr>
          <w:lang w:eastAsia="en-GB"/>
        </w:rPr>
      </w:pPr>
    </w:p>
    <w:p w:rsidR="00B467C8" w:rsidRPr="009D6577" w:rsidRDefault="00B467C8" w:rsidP="009D6577">
      <w:pPr>
        <w:numPr>
          <w:ilvl w:val="0"/>
          <w:numId w:val="6"/>
        </w:numPr>
        <w:autoSpaceDE w:val="0"/>
        <w:autoSpaceDN w:val="0"/>
        <w:adjustRightInd w:val="0"/>
      </w:pPr>
      <w:r w:rsidRPr="009D6577">
        <w:t>Lead a partnership-based approach to sustaining, developing and improving the cultural life of the city.</w:t>
      </w:r>
    </w:p>
    <w:p w:rsidR="00B467C8" w:rsidRPr="009D6577" w:rsidRDefault="00B467C8" w:rsidP="009D6577">
      <w:pPr>
        <w:numPr>
          <w:ilvl w:val="0"/>
          <w:numId w:val="6"/>
        </w:numPr>
        <w:autoSpaceDE w:val="0"/>
        <w:autoSpaceDN w:val="0"/>
        <w:adjustRightInd w:val="0"/>
      </w:pPr>
      <w:r w:rsidRPr="009D6577">
        <w:t>Improve opportunities for young people to access and actively participate in high quality cultural activities.</w:t>
      </w:r>
    </w:p>
    <w:p w:rsidR="00B467C8" w:rsidRDefault="00B467C8" w:rsidP="009D6577">
      <w:pPr>
        <w:numPr>
          <w:ilvl w:val="0"/>
          <w:numId w:val="6"/>
        </w:numPr>
        <w:autoSpaceDE w:val="0"/>
        <w:autoSpaceDN w:val="0"/>
        <w:adjustRightInd w:val="0"/>
      </w:pPr>
      <w:r w:rsidRPr="009D6577">
        <w:t xml:space="preserve">Improve opportunities for the diverse range of communities in </w:t>
      </w:r>
      <w:r>
        <w:t>the city</w:t>
      </w:r>
      <w:r w:rsidRPr="009D6577">
        <w:t xml:space="preserve"> to actively participate in high quality cultural activities that reflect their own identities and can be shared with the whole community. </w:t>
      </w:r>
    </w:p>
    <w:p w:rsidR="00B467C8" w:rsidRDefault="00B467C8" w:rsidP="009D6577">
      <w:pPr>
        <w:autoSpaceDE w:val="0"/>
        <w:autoSpaceDN w:val="0"/>
        <w:adjustRightInd w:val="0"/>
      </w:pPr>
    </w:p>
    <w:p w:rsidR="00B467C8" w:rsidRPr="009D6577" w:rsidRDefault="00B467C8" w:rsidP="009D6577">
      <w:pPr>
        <w:numPr>
          <w:ilvl w:val="0"/>
          <w:numId w:val="3"/>
        </w:numPr>
        <w:autoSpaceDE w:val="0"/>
        <w:autoSpaceDN w:val="0"/>
        <w:adjustRightInd w:val="0"/>
      </w:pPr>
      <w:r w:rsidRPr="009D6577">
        <w:rPr>
          <w:rFonts w:ascii="TT123D9o00" w:hAnsi="TT123D9o00" w:cs="TT123D9o00"/>
          <w:lang w:eastAsia="en-GB"/>
        </w:rPr>
        <w:t>Underpinning each of these priorities is a commitment to explore the barriers to participation in cultural activities faced by different sectors of the community and to find ways of removing them. The Culture Strategy (Appendix 1) sets out agreed objectives for</w:t>
      </w:r>
      <w:r>
        <w:t xml:space="preserve"> </w:t>
      </w:r>
      <w:r w:rsidRPr="009D6577">
        <w:rPr>
          <w:rFonts w:ascii="TT123D9o00" w:hAnsi="TT123D9o00" w:cs="TT123D9o00"/>
          <w:lang w:eastAsia="en-GB"/>
        </w:rPr>
        <w:t>each of these three priorities from 2012-15.</w:t>
      </w:r>
    </w:p>
    <w:p w:rsidR="00B467C8" w:rsidRDefault="00B467C8" w:rsidP="009F6321">
      <w:pPr>
        <w:autoSpaceDE w:val="0"/>
        <w:autoSpaceDN w:val="0"/>
        <w:adjustRightInd w:val="0"/>
        <w:rPr>
          <w:lang w:eastAsia="en-GB"/>
        </w:rPr>
      </w:pPr>
    </w:p>
    <w:p w:rsidR="00B467C8" w:rsidRDefault="00B467C8" w:rsidP="009F6321">
      <w:pPr>
        <w:autoSpaceDE w:val="0"/>
        <w:autoSpaceDN w:val="0"/>
        <w:adjustRightInd w:val="0"/>
        <w:rPr>
          <w:b/>
          <w:bCs/>
          <w:u w:val="single"/>
          <w:lang w:eastAsia="en-GB"/>
        </w:rPr>
      </w:pPr>
      <w:r w:rsidRPr="009F6321">
        <w:rPr>
          <w:b/>
          <w:bCs/>
          <w:u w:val="single"/>
          <w:lang w:eastAsia="en-GB"/>
        </w:rPr>
        <w:t>Delivery</w:t>
      </w:r>
    </w:p>
    <w:p w:rsidR="00B467C8" w:rsidRDefault="00B467C8" w:rsidP="009F6321">
      <w:pPr>
        <w:autoSpaceDE w:val="0"/>
        <w:autoSpaceDN w:val="0"/>
        <w:adjustRightInd w:val="0"/>
        <w:rPr>
          <w:lang w:eastAsia="en-GB"/>
        </w:rPr>
      </w:pPr>
    </w:p>
    <w:p w:rsidR="00B467C8" w:rsidRDefault="00B467C8" w:rsidP="009D6577">
      <w:pPr>
        <w:numPr>
          <w:ilvl w:val="0"/>
          <w:numId w:val="3"/>
        </w:numPr>
        <w:autoSpaceDE w:val="0"/>
        <w:autoSpaceDN w:val="0"/>
        <w:adjustRightInd w:val="0"/>
        <w:rPr>
          <w:rFonts w:ascii="TT123D9o00" w:hAnsi="TT123D9o00" w:cs="TT123D9o00"/>
          <w:lang w:eastAsia="en-GB"/>
        </w:rPr>
      </w:pPr>
      <w:r>
        <w:rPr>
          <w:rFonts w:ascii="TT123D9o00" w:hAnsi="TT123D9o00" w:cs="TT123D9o00"/>
          <w:lang w:eastAsia="en-GB"/>
        </w:rPr>
        <w:t>The Culture Strategy 2012-15 is being led by Oxford City Council in conjunction with the Cultural Action Group, a partnership involving Visit Oxfordshire and the following organisations in Oxford funded by Arts Council England: Oxford Playhouse, Pegasus Theatre, Modern Art Oxford, Oxford Contemporary Music and the University Museums. Arts at the Old Fire Station, Film Oxford, the Story Museum and Arts Council England will be invited to join the group from January 2013.</w:t>
      </w:r>
    </w:p>
    <w:p w:rsidR="00B467C8" w:rsidRPr="009D6577" w:rsidRDefault="00B467C8" w:rsidP="009D6577">
      <w:pPr>
        <w:ind w:left="720"/>
      </w:pPr>
    </w:p>
    <w:p w:rsidR="00B467C8" w:rsidRPr="009D6577" w:rsidRDefault="00B467C8" w:rsidP="009D6577">
      <w:pPr>
        <w:numPr>
          <w:ilvl w:val="0"/>
          <w:numId w:val="3"/>
        </w:numPr>
      </w:pPr>
      <w:r w:rsidRPr="009D6577">
        <w:t>In addition to working with the Cultural Action Group, the City Council’s Culture Team will develop new Cultur</w:t>
      </w:r>
      <w:r>
        <w:t>e</w:t>
      </w:r>
      <w:r w:rsidRPr="009D6577">
        <w:t xml:space="preserve"> Forums to which individual artists and other cultural organisations across the city will be invited to contribute. These forums will be responsive to the needs of the wider cultural sector and enable the City Council to provide support through training and development as well as funding. In order to ensure that individual artists and grassroots cultural organisations in particular have access to City Council funding, a new Culture</w:t>
      </w:r>
      <w:r>
        <w:t xml:space="preserve"> Fund will </w:t>
      </w:r>
      <w:r w:rsidRPr="009D6577">
        <w:t>be piloted in 2012-13 to provide modest leverage grants.</w:t>
      </w:r>
    </w:p>
    <w:p w:rsidR="00B467C8" w:rsidRPr="00804CB9" w:rsidRDefault="00B467C8" w:rsidP="009F6321">
      <w:pPr>
        <w:autoSpaceDE w:val="0"/>
        <w:autoSpaceDN w:val="0"/>
        <w:adjustRightInd w:val="0"/>
      </w:pPr>
    </w:p>
    <w:p w:rsidR="00B467C8" w:rsidRDefault="00B467C8" w:rsidP="009F6321">
      <w:pPr>
        <w:autoSpaceDE w:val="0"/>
        <w:autoSpaceDN w:val="0"/>
        <w:adjustRightInd w:val="0"/>
        <w:rPr>
          <w:b/>
          <w:bCs/>
          <w:u w:val="single"/>
        </w:rPr>
      </w:pPr>
      <w:r w:rsidRPr="00766930">
        <w:rPr>
          <w:b/>
          <w:bCs/>
          <w:u w:val="single"/>
        </w:rPr>
        <w:t>Level of risk</w:t>
      </w:r>
    </w:p>
    <w:p w:rsidR="00B467C8" w:rsidRDefault="00B467C8" w:rsidP="009F6321">
      <w:pPr>
        <w:autoSpaceDE w:val="0"/>
        <w:autoSpaceDN w:val="0"/>
        <w:adjustRightInd w:val="0"/>
        <w:rPr>
          <w:lang w:eastAsia="en-GB"/>
        </w:rPr>
      </w:pPr>
    </w:p>
    <w:p w:rsidR="00B467C8" w:rsidRPr="00766930" w:rsidRDefault="00B467C8" w:rsidP="009D6577">
      <w:pPr>
        <w:numPr>
          <w:ilvl w:val="0"/>
          <w:numId w:val="3"/>
        </w:numPr>
        <w:autoSpaceDE w:val="0"/>
        <w:autoSpaceDN w:val="0"/>
        <w:adjustRightInd w:val="0"/>
        <w:rPr>
          <w:lang w:eastAsia="en-GB"/>
        </w:rPr>
      </w:pPr>
      <w:r>
        <w:rPr>
          <w:rFonts w:ascii="TT123D9o00" w:hAnsi="TT123D9o00" w:cs="TT123D9o00"/>
          <w:lang w:eastAsia="en-GB"/>
        </w:rPr>
        <w:t xml:space="preserve">The Culture </w:t>
      </w:r>
      <w:r w:rsidRPr="00766930">
        <w:rPr>
          <w:lang w:eastAsia="en-GB"/>
        </w:rPr>
        <w:t>Strategy is low risk, although its non-adoption might result in the reduction or loss of funding to arts partners. A summary risk assessment is set out in A</w:t>
      </w:r>
      <w:r>
        <w:rPr>
          <w:lang w:eastAsia="en-GB"/>
        </w:rPr>
        <w:t>ppendi</w:t>
      </w:r>
      <w:r w:rsidRPr="00766930">
        <w:rPr>
          <w:lang w:eastAsia="en-GB"/>
        </w:rPr>
        <w:t xml:space="preserve">x </w:t>
      </w:r>
      <w:r>
        <w:rPr>
          <w:lang w:eastAsia="en-GB"/>
        </w:rPr>
        <w:t>3.</w:t>
      </w:r>
    </w:p>
    <w:p w:rsidR="00B467C8" w:rsidRPr="00804CB9" w:rsidRDefault="00B467C8" w:rsidP="009F6321">
      <w:pPr>
        <w:autoSpaceDE w:val="0"/>
        <w:autoSpaceDN w:val="0"/>
        <w:adjustRightInd w:val="0"/>
        <w:rPr>
          <w:lang w:eastAsia="en-GB"/>
        </w:rPr>
      </w:pPr>
    </w:p>
    <w:p w:rsidR="00B467C8" w:rsidRDefault="00B467C8" w:rsidP="009F6321">
      <w:pPr>
        <w:autoSpaceDE w:val="0"/>
        <w:autoSpaceDN w:val="0"/>
        <w:adjustRightInd w:val="0"/>
        <w:rPr>
          <w:b/>
          <w:bCs/>
          <w:u w:val="single"/>
          <w:lang w:eastAsia="en-GB"/>
        </w:rPr>
      </w:pPr>
      <w:r w:rsidRPr="00766930">
        <w:rPr>
          <w:b/>
          <w:bCs/>
          <w:u w:val="single"/>
          <w:lang w:eastAsia="en-GB"/>
        </w:rPr>
        <w:t>Climate Change/Environmental impact</w:t>
      </w:r>
    </w:p>
    <w:p w:rsidR="00B467C8" w:rsidRDefault="00B467C8" w:rsidP="009F6321">
      <w:pPr>
        <w:autoSpaceDE w:val="0"/>
        <w:autoSpaceDN w:val="0"/>
        <w:adjustRightInd w:val="0"/>
        <w:rPr>
          <w:lang w:eastAsia="en-GB"/>
        </w:rPr>
      </w:pPr>
    </w:p>
    <w:p w:rsidR="00B467C8" w:rsidRPr="00766930" w:rsidRDefault="00B467C8" w:rsidP="009D6577">
      <w:pPr>
        <w:numPr>
          <w:ilvl w:val="0"/>
          <w:numId w:val="3"/>
        </w:numPr>
        <w:autoSpaceDE w:val="0"/>
        <w:autoSpaceDN w:val="0"/>
        <w:adjustRightInd w:val="0"/>
        <w:rPr>
          <w:lang w:eastAsia="en-GB"/>
        </w:rPr>
      </w:pPr>
      <w:r w:rsidRPr="00766930">
        <w:rPr>
          <w:lang w:eastAsia="en-GB"/>
        </w:rPr>
        <w:t>The strategy adheres to the City Council’s policy on climate change.</w:t>
      </w:r>
    </w:p>
    <w:p w:rsidR="00B467C8" w:rsidRPr="00804CB9" w:rsidRDefault="00B467C8" w:rsidP="009F6321">
      <w:pPr>
        <w:autoSpaceDE w:val="0"/>
        <w:autoSpaceDN w:val="0"/>
        <w:adjustRightInd w:val="0"/>
      </w:pPr>
    </w:p>
    <w:p w:rsidR="00B467C8" w:rsidRDefault="00B467C8" w:rsidP="009F6321">
      <w:pPr>
        <w:autoSpaceDE w:val="0"/>
        <w:autoSpaceDN w:val="0"/>
        <w:adjustRightInd w:val="0"/>
        <w:rPr>
          <w:lang w:eastAsia="en-GB"/>
        </w:rPr>
      </w:pPr>
      <w:r w:rsidRPr="00766930">
        <w:rPr>
          <w:b/>
          <w:bCs/>
          <w:u w:val="single"/>
        </w:rPr>
        <w:t>Equalities impact</w:t>
      </w:r>
      <w:r w:rsidRPr="00766930">
        <w:rPr>
          <w:lang w:eastAsia="en-GB"/>
        </w:rPr>
        <w:t xml:space="preserve"> </w:t>
      </w:r>
    </w:p>
    <w:p w:rsidR="00B467C8" w:rsidRDefault="00B467C8" w:rsidP="009F6321">
      <w:pPr>
        <w:autoSpaceDE w:val="0"/>
        <w:autoSpaceDN w:val="0"/>
        <w:adjustRightInd w:val="0"/>
      </w:pPr>
    </w:p>
    <w:p w:rsidR="00B467C8" w:rsidRPr="00766930" w:rsidRDefault="00B467C8" w:rsidP="009D6577">
      <w:pPr>
        <w:numPr>
          <w:ilvl w:val="0"/>
          <w:numId w:val="3"/>
        </w:numPr>
        <w:autoSpaceDE w:val="0"/>
        <w:autoSpaceDN w:val="0"/>
        <w:adjustRightInd w:val="0"/>
      </w:pPr>
      <w:r w:rsidRPr="00766930">
        <w:rPr>
          <w:lang w:eastAsia="en-GB"/>
        </w:rPr>
        <w:t>An initial Equalities Impact Assessment is provided at A</w:t>
      </w:r>
      <w:r>
        <w:rPr>
          <w:lang w:eastAsia="en-GB"/>
        </w:rPr>
        <w:t>ppendi</w:t>
      </w:r>
      <w:r w:rsidRPr="00766930">
        <w:rPr>
          <w:lang w:eastAsia="en-GB"/>
        </w:rPr>
        <w:t xml:space="preserve">x </w:t>
      </w:r>
      <w:r>
        <w:rPr>
          <w:lang w:eastAsia="en-GB"/>
        </w:rPr>
        <w:t>2</w:t>
      </w:r>
      <w:r w:rsidRPr="00766930">
        <w:rPr>
          <w:lang w:eastAsia="en-GB"/>
        </w:rPr>
        <w:t>. The City Council’s overriding concern in formulating its Culture Strategy has been to engage communities currently excluded from participation in the city’s cultural life.</w:t>
      </w:r>
    </w:p>
    <w:p w:rsidR="00B467C8" w:rsidRDefault="00B467C8" w:rsidP="009F6321">
      <w:pPr>
        <w:rPr>
          <w:b/>
          <w:bCs/>
          <w:u w:val="single"/>
        </w:rPr>
      </w:pPr>
    </w:p>
    <w:p w:rsidR="00B467C8" w:rsidRDefault="00B467C8" w:rsidP="009F6321">
      <w:r w:rsidRPr="00766930">
        <w:rPr>
          <w:b/>
          <w:bCs/>
          <w:u w:val="single"/>
        </w:rPr>
        <w:t>Financial implications</w:t>
      </w:r>
      <w:r w:rsidRPr="00766930">
        <w:t xml:space="preserve"> </w:t>
      </w:r>
    </w:p>
    <w:p w:rsidR="00B467C8" w:rsidRDefault="00B467C8" w:rsidP="009F6321"/>
    <w:p w:rsidR="00B467C8" w:rsidRPr="009F6321" w:rsidRDefault="00B467C8" w:rsidP="009D6577">
      <w:pPr>
        <w:numPr>
          <w:ilvl w:val="0"/>
          <w:numId w:val="3"/>
        </w:numPr>
      </w:pPr>
      <w:r w:rsidRPr="00766930">
        <w:rPr>
          <w:lang w:eastAsia="en-GB"/>
        </w:rPr>
        <w:t>The Culture Strategy can be delivered through existing financial resources and through partnership</w:t>
      </w:r>
      <w:r>
        <w:rPr>
          <w:rFonts w:ascii="TT123D9o00" w:hAnsi="TT123D9o00" w:cs="TT123D9o00"/>
          <w:lang w:eastAsia="en-GB"/>
        </w:rPr>
        <w:t xml:space="preserve"> agreements.</w:t>
      </w:r>
    </w:p>
    <w:p w:rsidR="00B467C8" w:rsidRDefault="00B467C8" w:rsidP="009F6321">
      <w:pPr>
        <w:ind w:left="360"/>
      </w:pPr>
    </w:p>
    <w:p w:rsidR="00B467C8" w:rsidRDefault="00B467C8" w:rsidP="009F6321">
      <w:pPr>
        <w:rPr>
          <w:b/>
          <w:bCs/>
          <w:u w:val="single"/>
        </w:rPr>
      </w:pPr>
      <w:r w:rsidRPr="00766930">
        <w:rPr>
          <w:b/>
          <w:bCs/>
          <w:u w:val="single"/>
        </w:rPr>
        <w:t>Legal Implications</w:t>
      </w:r>
    </w:p>
    <w:p w:rsidR="00B467C8" w:rsidRPr="009F6321" w:rsidRDefault="00B467C8" w:rsidP="009F6321">
      <w:pPr>
        <w:rPr>
          <w:rFonts w:ascii="TT123D9o00" w:hAnsi="TT123D9o00" w:cs="TT123D9o00"/>
          <w:lang w:eastAsia="en-GB"/>
        </w:rPr>
      </w:pPr>
    </w:p>
    <w:p w:rsidR="00B467C8" w:rsidRPr="00766930" w:rsidRDefault="00B467C8" w:rsidP="009D6577">
      <w:pPr>
        <w:numPr>
          <w:ilvl w:val="0"/>
          <w:numId w:val="3"/>
        </w:numPr>
        <w:rPr>
          <w:rFonts w:ascii="TT123D9o00" w:hAnsi="TT123D9o00" w:cs="TT123D9o00"/>
          <w:lang w:eastAsia="en-GB"/>
        </w:rPr>
      </w:pPr>
      <w:r>
        <w:rPr>
          <w:rFonts w:ascii="TT123D9o00" w:hAnsi="TT123D9o00" w:cs="TT123D9o00"/>
          <w:lang w:eastAsia="en-GB"/>
        </w:rPr>
        <w:t>Issues relating to governance and/or contractual matters may arise where cultural partners assist with delivery of objectives within the strategy. There are no other current legal implications</w:t>
      </w:r>
    </w:p>
    <w:p w:rsidR="00B467C8" w:rsidRDefault="00B467C8">
      <w:pPr>
        <w:ind w:left="1080"/>
      </w:pPr>
    </w:p>
    <w:p w:rsidR="00B467C8" w:rsidRDefault="00B467C8" w:rsidP="00713675">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8522"/>
      </w:tblGrid>
      <w:tr w:rsidR="00B467C8">
        <w:tc>
          <w:tcPr>
            <w:tcW w:w="8522" w:type="dxa"/>
            <w:tcBorders>
              <w:top w:val="single" w:sz="4" w:space="0" w:color="auto"/>
            </w:tcBorders>
          </w:tcPr>
          <w:p w:rsidR="00B467C8" w:rsidRDefault="00B467C8" w:rsidP="00855C66">
            <w:pPr>
              <w:tabs>
                <w:tab w:val="left" w:pos="720"/>
                <w:tab w:val="left" w:pos="1440"/>
                <w:tab w:val="left" w:pos="2160"/>
                <w:tab w:val="left" w:pos="2880"/>
              </w:tabs>
            </w:pPr>
            <w:r>
              <w:rPr>
                <w:b/>
                <w:bCs/>
              </w:rPr>
              <w:t>Name and contact details of author:</w:t>
            </w:r>
          </w:p>
        </w:tc>
      </w:tr>
      <w:tr w:rsidR="00B467C8">
        <w:tc>
          <w:tcPr>
            <w:tcW w:w="8522" w:type="dxa"/>
          </w:tcPr>
          <w:p w:rsidR="00B467C8" w:rsidRDefault="00B467C8" w:rsidP="00855C66">
            <w:pPr>
              <w:tabs>
                <w:tab w:val="left" w:pos="720"/>
                <w:tab w:val="left" w:pos="1440"/>
                <w:tab w:val="left" w:pos="2160"/>
                <w:tab w:val="left" w:pos="2880"/>
              </w:tabs>
            </w:pPr>
          </w:p>
          <w:p w:rsidR="00B467C8" w:rsidRDefault="00B467C8" w:rsidP="00855C66">
            <w:pPr>
              <w:tabs>
                <w:tab w:val="left" w:pos="720"/>
                <w:tab w:val="left" w:pos="1440"/>
                <w:tab w:val="left" w:pos="2160"/>
                <w:tab w:val="left" w:pos="2880"/>
              </w:tabs>
            </w:pPr>
            <w:r>
              <w:t>Name: Dr Ceri Gorton</w:t>
            </w:r>
          </w:p>
        </w:tc>
      </w:tr>
      <w:tr w:rsidR="00B467C8">
        <w:tc>
          <w:tcPr>
            <w:tcW w:w="8522" w:type="dxa"/>
          </w:tcPr>
          <w:p w:rsidR="00B467C8" w:rsidRDefault="00B467C8" w:rsidP="00855C66">
            <w:pPr>
              <w:tabs>
                <w:tab w:val="left" w:pos="720"/>
                <w:tab w:val="left" w:pos="1440"/>
                <w:tab w:val="left" w:pos="2160"/>
                <w:tab w:val="left" w:pos="2880"/>
              </w:tabs>
            </w:pPr>
            <w:r>
              <w:t>Job title: Cultural Development Manager</w:t>
            </w:r>
          </w:p>
        </w:tc>
      </w:tr>
      <w:tr w:rsidR="00B467C8">
        <w:tc>
          <w:tcPr>
            <w:tcW w:w="8522" w:type="dxa"/>
          </w:tcPr>
          <w:p w:rsidR="00B467C8" w:rsidRDefault="00B467C8" w:rsidP="00855C66">
            <w:pPr>
              <w:tabs>
                <w:tab w:val="left" w:pos="720"/>
                <w:tab w:val="left" w:pos="1440"/>
                <w:tab w:val="left" w:pos="2160"/>
                <w:tab w:val="left" w:pos="2880"/>
              </w:tabs>
            </w:pPr>
            <w:r>
              <w:t>Service Area / Department: Policy, Culture and Communications</w:t>
            </w:r>
          </w:p>
        </w:tc>
      </w:tr>
      <w:tr w:rsidR="00B467C8">
        <w:tc>
          <w:tcPr>
            <w:tcW w:w="8522" w:type="dxa"/>
            <w:tcBorders>
              <w:bottom w:val="single" w:sz="4" w:space="0" w:color="auto"/>
            </w:tcBorders>
          </w:tcPr>
          <w:p w:rsidR="00B467C8" w:rsidRDefault="00B467C8" w:rsidP="00080544">
            <w:pPr>
              <w:tabs>
                <w:tab w:val="left" w:pos="720"/>
                <w:tab w:val="left" w:pos="1440"/>
                <w:tab w:val="left" w:pos="2160"/>
                <w:tab w:val="left" w:pos="2880"/>
              </w:tabs>
              <w:rPr>
                <w:color w:val="0000FF"/>
                <w:u w:val="single"/>
              </w:rPr>
            </w:pPr>
            <w:r>
              <w:t xml:space="preserve">Tel:  01865 252829  e-mail: </w:t>
            </w:r>
            <w:hyperlink r:id="rId9" w:history="1">
              <w:r w:rsidRPr="002D3EF1">
                <w:rPr>
                  <w:rStyle w:val="Hyperlink"/>
                  <w:rFonts w:cs="Arial"/>
                </w:rPr>
                <w:t>cgorton@oxford.gov.uk</w:t>
              </w:r>
            </w:hyperlink>
            <w:r>
              <w:t xml:space="preserve"> </w:t>
            </w:r>
          </w:p>
        </w:tc>
      </w:tr>
    </w:tbl>
    <w:p w:rsidR="00B467C8" w:rsidRDefault="00B467C8">
      <w:pPr>
        <w:rPr>
          <w:b/>
          <w:bCs/>
          <w:sz w:val="20"/>
          <w:szCs w:val="20"/>
        </w:rPr>
      </w:pPr>
    </w:p>
    <w:p w:rsidR="00B467C8" w:rsidRDefault="00B467C8">
      <w:pPr>
        <w:rPr>
          <w:b/>
          <w:bCs/>
        </w:rPr>
      </w:pPr>
      <w:r>
        <w:rPr>
          <w:b/>
          <w:bCs/>
        </w:rPr>
        <w:t xml:space="preserve">List of background papers: </w:t>
      </w:r>
    </w:p>
    <w:p w:rsidR="00B467C8" w:rsidRDefault="00B467C8" w:rsidP="00202670">
      <w:pPr>
        <w:autoSpaceDE w:val="0"/>
        <w:autoSpaceDN w:val="0"/>
        <w:adjustRightInd w:val="0"/>
        <w:rPr>
          <w:rFonts w:ascii="TT123D9o00" w:hAnsi="TT123D9o00" w:cs="TT123D9o00"/>
          <w:lang w:eastAsia="en-GB"/>
        </w:rPr>
      </w:pPr>
      <w:r>
        <w:rPr>
          <w:rFonts w:ascii="TT123D9o00" w:hAnsi="TT123D9o00" w:cs="TT123D9o00"/>
          <w:lang w:eastAsia="en-GB"/>
        </w:rPr>
        <w:t>Summary Evaluation Report Cultural Strategy 2009-12</w:t>
      </w:r>
    </w:p>
    <w:p w:rsidR="00B467C8" w:rsidRDefault="00B467C8" w:rsidP="00202670">
      <w:pPr>
        <w:autoSpaceDE w:val="0"/>
        <w:autoSpaceDN w:val="0"/>
        <w:adjustRightInd w:val="0"/>
        <w:rPr>
          <w:rFonts w:ascii="TT123D9o00" w:hAnsi="TT123D9o00" w:cs="TT123D9o00"/>
          <w:lang w:eastAsia="en-GB"/>
        </w:rPr>
      </w:pPr>
      <w:r>
        <w:rPr>
          <w:rFonts w:ascii="TT123D9o00" w:hAnsi="TT123D9o00" w:cs="TT123D9o00"/>
          <w:lang w:eastAsia="en-GB"/>
        </w:rPr>
        <w:t>Evaluation of Cultural Strategy Action Plan 2009-12</w:t>
      </w:r>
    </w:p>
    <w:p w:rsidR="00B467C8" w:rsidRDefault="00B467C8" w:rsidP="00202670">
      <w:pPr>
        <w:autoSpaceDE w:val="0"/>
        <w:autoSpaceDN w:val="0"/>
        <w:adjustRightInd w:val="0"/>
        <w:rPr>
          <w:rFonts w:ascii="TT123D9o00" w:hAnsi="TT123D9o00" w:cs="TT123D9o00"/>
          <w:lang w:eastAsia="en-GB"/>
        </w:rPr>
      </w:pPr>
      <w:r>
        <w:rPr>
          <w:rFonts w:ascii="TT123D9o00" w:hAnsi="TT123D9o00" w:cs="TT123D9o00"/>
          <w:lang w:eastAsia="en-GB"/>
        </w:rPr>
        <w:t>Report on the Consultation on the Draft Culture Strategy for Oxford 2012 to</w:t>
      </w:r>
    </w:p>
    <w:p w:rsidR="00B467C8" w:rsidRDefault="00B467C8" w:rsidP="00202670">
      <w:pPr>
        <w:rPr>
          <w:b/>
          <w:bCs/>
        </w:rPr>
      </w:pPr>
      <w:r>
        <w:rPr>
          <w:rFonts w:ascii="TT123D9o00" w:hAnsi="TT123D9o00" w:cs="TT123D9o00"/>
          <w:lang w:eastAsia="en-GB"/>
        </w:rPr>
        <w:t>2016</w:t>
      </w:r>
    </w:p>
    <w:p w:rsidR="00B467C8" w:rsidRDefault="00B467C8">
      <w:pPr>
        <w:rPr>
          <w:b/>
          <w:bCs/>
        </w:rPr>
      </w:pPr>
    </w:p>
    <w:p w:rsidR="00B467C8" w:rsidRDefault="00B467C8">
      <w:pPr>
        <w:rPr>
          <w:b/>
          <w:bCs/>
        </w:rPr>
      </w:pPr>
      <w:r>
        <w:rPr>
          <w:b/>
          <w:bCs/>
        </w:rPr>
        <w:t>Version number: 1.0</w:t>
      </w:r>
    </w:p>
    <w:p w:rsidR="00B467C8" w:rsidRDefault="00B467C8">
      <w:pPr>
        <w:rPr>
          <w:b/>
          <w:bCs/>
        </w:rPr>
      </w:pPr>
    </w:p>
    <w:p w:rsidR="00B467C8" w:rsidRDefault="00B467C8">
      <w:pPr>
        <w:rPr>
          <w:b/>
          <w:bCs/>
        </w:rPr>
      </w:pPr>
      <w:r>
        <w:rPr>
          <w:b/>
          <w:bCs/>
        </w:rPr>
        <w:br w:type="page"/>
        <w:t>Appendix 2</w:t>
      </w:r>
    </w:p>
    <w:p w:rsidR="00B467C8" w:rsidRDefault="00B467C8">
      <w:pPr>
        <w:rPr>
          <w:b/>
          <w:bCs/>
        </w:rPr>
      </w:pPr>
      <w:r>
        <w:rPr>
          <w:b/>
          <w:bCs/>
        </w:rPr>
        <w:t>Equalities Impact Assessment</w:t>
      </w:r>
    </w:p>
    <w:p w:rsidR="00B467C8" w:rsidRDefault="00B467C8" w:rsidP="00FC6451">
      <w:pPr>
        <w:rPr>
          <w:b/>
          <w:bCs/>
        </w:rPr>
      </w:pPr>
    </w:p>
    <w:p w:rsidR="00B467C8" w:rsidRDefault="00B467C8" w:rsidP="00FC6451">
      <w:pPr>
        <w:numPr>
          <w:ilvl w:val="0"/>
          <w:numId w:val="7"/>
        </w:numPr>
        <w:autoSpaceDE w:val="0"/>
        <w:autoSpaceDN w:val="0"/>
        <w:adjustRightInd w:val="0"/>
        <w:rPr>
          <w:color w:val="000000"/>
        </w:rPr>
      </w:pPr>
      <w:r>
        <w:rPr>
          <w:color w:val="000000"/>
        </w:rPr>
        <w:t>Within the aims and objectives of the policy or strategy w</w:t>
      </w:r>
      <w:r w:rsidRPr="00390482">
        <w:rPr>
          <w:color w:val="000000"/>
        </w:rPr>
        <w:t>hich group (s) of people has been identified as being</w:t>
      </w:r>
      <w:r>
        <w:rPr>
          <w:color w:val="000000"/>
        </w:rPr>
        <w:t xml:space="preserve"> potentially</w:t>
      </w:r>
      <w:r w:rsidRPr="00390482">
        <w:rPr>
          <w:color w:val="000000"/>
        </w:rPr>
        <w:t xml:space="preserve"> disadvantaged by your proposals? What are the equality impacts? </w:t>
      </w:r>
    </w:p>
    <w:p w:rsidR="00B467C8" w:rsidRDefault="00B467C8" w:rsidP="00FC6451">
      <w:pPr>
        <w:autoSpaceDE w:val="0"/>
        <w:autoSpaceDN w:val="0"/>
        <w:adjustRightInd w:val="0"/>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467C8">
        <w:tc>
          <w:tcPr>
            <w:tcW w:w="8522" w:type="dxa"/>
          </w:tcPr>
          <w:p w:rsidR="00B467C8" w:rsidRPr="00E724E1" w:rsidRDefault="00B467C8" w:rsidP="00E724E1">
            <w:pPr>
              <w:autoSpaceDE w:val="0"/>
              <w:autoSpaceDN w:val="0"/>
              <w:adjustRightInd w:val="0"/>
              <w:rPr>
                <w:color w:val="000000"/>
              </w:rPr>
            </w:pPr>
            <w:r w:rsidRPr="00E724E1">
              <w:rPr>
                <w:color w:val="000000"/>
                <w:sz w:val="22"/>
                <w:szCs w:val="22"/>
              </w:rPr>
              <w:t xml:space="preserve">The Council’s previous Culture Strategy 2009-2012 effectively set benchmarks for evaluating the cultural provision to Oxford’s communities. Significant changes to Government policies (specifically the restructuring of the national, regional and local development agencies and reduced funding for arts and culture leading to increased competition both locally and externally for diminishing resources) has necessitated a review of the strategy to draw a more explicit link between the cultural vision and the demographics within the city, where acknowledged levels of significant social and economic disadvantage across key areas of the city have driven the Council’s belief that access to high quality cultural experiences are important to social regeneration. </w:t>
            </w:r>
          </w:p>
          <w:p w:rsidR="00B467C8" w:rsidRPr="00E724E1" w:rsidRDefault="00B467C8" w:rsidP="00525DAA">
            <w:pPr>
              <w:rPr>
                <w:lang w:eastAsia="en-GB"/>
              </w:rPr>
            </w:pPr>
            <w:r w:rsidRPr="00E724E1">
              <w:rPr>
                <w:sz w:val="22"/>
                <w:szCs w:val="22"/>
                <w:lang w:eastAsia="en-GB"/>
              </w:rPr>
              <w:t>The City Council’s ambition – developed with our partners, including business, community organisations, the health and education sectors, and the County Council – is to make Oxford a world-class city for everyone and our overriding concern in formulating the Culture Strategy has been to engage communities currently excluded from participation in the City’s cultural life</w:t>
            </w:r>
          </w:p>
          <w:p w:rsidR="00B467C8" w:rsidRPr="00E724E1" w:rsidRDefault="00B467C8" w:rsidP="00525DAA"/>
          <w:p w:rsidR="00B467C8" w:rsidRPr="00E724E1" w:rsidRDefault="00B467C8" w:rsidP="00525DAA">
            <w:r w:rsidRPr="00E724E1">
              <w:rPr>
                <w:sz w:val="22"/>
                <w:szCs w:val="22"/>
              </w:rPr>
              <w:t>Our shared vision for culture is:</w:t>
            </w:r>
          </w:p>
          <w:p w:rsidR="00B467C8" w:rsidRPr="00E724E1" w:rsidRDefault="00B467C8" w:rsidP="00E724E1">
            <w:pPr>
              <w:ind w:left="720"/>
              <w:rPr>
                <w:i/>
                <w:iCs/>
              </w:rPr>
            </w:pPr>
            <w:r w:rsidRPr="00E724E1">
              <w:rPr>
                <w:i/>
                <w:iCs/>
                <w:sz w:val="22"/>
                <w:szCs w:val="22"/>
              </w:rPr>
              <w:t>To work in partnership with Oxford’s key stakeholders and cultural partners to develop and promote cultural activities and events that enhance and leave a legacy in the lives of individuals and communities, offer affordable, excellent experiences, encourage attainment amongst young people and promote cultural ambition.</w:t>
            </w:r>
          </w:p>
        </w:tc>
      </w:tr>
    </w:tbl>
    <w:p w:rsidR="00B467C8" w:rsidRPr="00390482" w:rsidRDefault="00B467C8" w:rsidP="00FC6451">
      <w:pPr>
        <w:autoSpaceDE w:val="0"/>
        <w:autoSpaceDN w:val="0"/>
        <w:adjustRightInd w:val="0"/>
        <w:rPr>
          <w:color w:val="000000"/>
        </w:rPr>
      </w:pPr>
    </w:p>
    <w:p w:rsidR="00B467C8" w:rsidRPr="00040397" w:rsidRDefault="00B467C8" w:rsidP="00FC6451">
      <w:pPr>
        <w:numPr>
          <w:ilvl w:val="0"/>
          <w:numId w:val="7"/>
        </w:numPr>
        <w:autoSpaceDE w:val="0"/>
        <w:autoSpaceDN w:val="0"/>
        <w:adjustRightInd w:val="0"/>
        <w:rPr>
          <w:lang w:eastAsia="en-GB"/>
        </w:rPr>
      </w:pPr>
      <w:r w:rsidRPr="00390482">
        <w:rPr>
          <w:color w:val="000000"/>
        </w:rPr>
        <w:t xml:space="preserve">In brief, what changes are you planning to make to your current or proposed new or changed policy, strategy, procedure, project or service to minimise or eliminate the adverse equality impacts? </w:t>
      </w:r>
    </w:p>
    <w:p w:rsidR="00B467C8" w:rsidRPr="00040397" w:rsidRDefault="00B467C8" w:rsidP="00FC6451">
      <w:pPr>
        <w:autoSpaceDE w:val="0"/>
        <w:autoSpaceDN w:val="0"/>
        <w:adjustRightInd w:val="0"/>
        <w:rPr>
          <w:lang w:eastAsia="en-GB"/>
        </w:rPr>
      </w:pPr>
    </w:p>
    <w:p w:rsidR="00B467C8" w:rsidRDefault="00B467C8" w:rsidP="00FC6451">
      <w:pPr>
        <w:autoSpaceDE w:val="0"/>
        <w:autoSpaceDN w:val="0"/>
        <w:adjustRightInd w:val="0"/>
        <w:ind w:left="360"/>
        <w:rPr>
          <w:color w:val="000000"/>
        </w:rPr>
      </w:pPr>
      <w:r>
        <w:rPr>
          <w:color w:val="000000"/>
        </w:rPr>
        <w:t xml:space="preserve">      </w:t>
      </w:r>
      <w:r w:rsidRPr="00390482">
        <w:rPr>
          <w:color w:val="000000"/>
        </w:rPr>
        <w:t xml:space="preserve">Please provide further details of the </w:t>
      </w:r>
      <w:r>
        <w:rPr>
          <w:color w:val="000000"/>
        </w:rPr>
        <w:t xml:space="preserve">proposed actions, timetable for </w:t>
      </w:r>
    </w:p>
    <w:p w:rsidR="00B467C8" w:rsidRDefault="00B467C8" w:rsidP="00FC6451">
      <w:pPr>
        <w:autoSpaceDE w:val="0"/>
        <w:autoSpaceDN w:val="0"/>
        <w:adjustRightInd w:val="0"/>
        <w:ind w:left="360"/>
        <w:rPr>
          <w:color w:val="000000"/>
        </w:rPr>
      </w:pPr>
      <w:r>
        <w:rPr>
          <w:color w:val="000000"/>
        </w:rPr>
        <w:t xml:space="preserve">      </w:t>
      </w:r>
      <w:r w:rsidRPr="00390482">
        <w:rPr>
          <w:color w:val="000000"/>
        </w:rPr>
        <w:t xml:space="preserve">making the changes and the person(s) responsible for making the </w:t>
      </w:r>
    </w:p>
    <w:p w:rsidR="00B467C8" w:rsidRPr="00040397" w:rsidRDefault="00B467C8" w:rsidP="00FC6451">
      <w:pPr>
        <w:autoSpaceDE w:val="0"/>
        <w:autoSpaceDN w:val="0"/>
        <w:adjustRightInd w:val="0"/>
        <w:ind w:left="360"/>
        <w:rPr>
          <w:color w:val="000000"/>
        </w:rPr>
      </w:pPr>
      <w:r>
        <w:rPr>
          <w:color w:val="000000"/>
        </w:rPr>
        <w:t xml:space="preserve">      </w:t>
      </w:r>
      <w:r w:rsidRPr="00390482">
        <w:rPr>
          <w:color w:val="000000"/>
        </w:rPr>
        <w:t>changes on the resultant action plan</w:t>
      </w:r>
      <w:r>
        <w:rPr>
          <w:color w:val="000000"/>
        </w:rPr>
        <w:t xml:space="preserve"> </w:t>
      </w:r>
    </w:p>
    <w:p w:rsidR="00B467C8" w:rsidRDefault="00B467C8" w:rsidP="00FC6451">
      <w:pPr>
        <w:autoSpaceDE w:val="0"/>
        <w:autoSpaceDN w:val="0"/>
        <w:adjustRightInd w:val="0"/>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467C8">
        <w:tc>
          <w:tcPr>
            <w:tcW w:w="8522" w:type="dxa"/>
          </w:tcPr>
          <w:p w:rsidR="00B467C8" w:rsidRPr="00E724E1" w:rsidRDefault="00B467C8" w:rsidP="00E724E1">
            <w:pPr>
              <w:autoSpaceDE w:val="0"/>
              <w:autoSpaceDN w:val="0"/>
              <w:adjustRightInd w:val="0"/>
              <w:rPr>
                <w:lang w:eastAsia="en-GB"/>
              </w:rPr>
            </w:pPr>
            <w:r w:rsidRPr="00E724E1">
              <w:rPr>
                <w:sz w:val="22"/>
                <w:szCs w:val="22"/>
                <w:lang w:eastAsia="en-GB"/>
              </w:rPr>
              <w:t xml:space="preserve">The Culture Strategy 2012-2015 is being led by the Council in conjunction with the Cultural Action Group (a partnership involving key local arts and cultural organisations and to which the Arts Council will be invited to join from January 2013: see paragraph 11 of the CEB report). It is the intention to develop new Culture Forums to which individual artists and other cultural organisations across the city will be invited to contribute. These forums will be more responsive and enable the Council to provide support through training as well as funding. A new pilot Culture Fund will be piloted in 2012-2013 to establish and provide modest leverage grants. </w:t>
            </w:r>
          </w:p>
        </w:tc>
      </w:tr>
    </w:tbl>
    <w:p w:rsidR="00B467C8" w:rsidRPr="00390482" w:rsidRDefault="00B467C8" w:rsidP="00FC6451">
      <w:pPr>
        <w:autoSpaceDE w:val="0"/>
        <w:autoSpaceDN w:val="0"/>
        <w:adjustRightInd w:val="0"/>
        <w:rPr>
          <w:lang w:eastAsia="en-GB"/>
        </w:rPr>
      </w:pPr>
    </w:p>
    <w:p w:rsidR="00B467C8" w:rsidRPr="00040397" w:rsidRDefault="00B467C8" w:rsidP="00FC6451">
      <w:pPr>
        <w:numPr>
          <w:ilvl w:val="0"/>
          <w:numId w:val="7"/>
        </w:numPr>
        <w:autoSpaceDE w:val="0"/>
        <w:autoSpaceDN w:val="0"/>
        <w:adjustRightInd w:val="0"/>
        <w:rPr>
          <w:lang w:eastAsia="en-GB"/>
        </w:rPr>
      </w:pPr>
      <w:r w:rsidRPr="00390482">
        <w:t xml:space="preserve">Please provide details of whom you will consult on the proposed changes and if you do not plan to consult, please provide the rationale behind that decision. </w:t>
      </w:r>
    </w:p>
    <w:p w:rsidR="00B467C8" w:rsidRDefault="00B467C8" w:rsidP="00FC6451">
      <w:pPr>
        <w:autoSpaceDE w:val="0"/>
        <w:autoSpaceDN w:val="0"/>
        <w:adjustRightInd w:val="0"/>
        <w:rPr>
          <w:lang w:eastAsia="en-GB"/>
        </w:rPr>
      </w:pPr>
    </w:p>
    <w:p w:rsidR="00B467C8" w:rsidRDefault="00B467C8" w:rsidP="00FC6451">
      <w:pPr>
        <w:autoSpaceDE w:val="0"/>
        <w:autoSpaceDN w:val="0"/>
        <w:adjustRightInd w:val="0"/>
      </w:pPr>
      <w:r>
        <w:rPr>
          <w:lang w:eastAsia="en-GB"/>
        </w:rPr>
        <w:t xml:space="preserve">           </w:t>
      </w:r>
      <w:r w:rsidRPr="00390482">
        <w:t>Please note that you are require</w:t>
      </w:r>
      <w:r>
        <w:t xml:space="preserve">d to involve disabled people in  </w:t>
      </w:r>
    </w:p>
    <w:p w:rsidR="00B467C8" w:rsidRPr="00040397" w:rsidRDefault="00B467C8" w:rsidP="00FC6451">
      <w:pPr>
        <w:autoSpaceDE w:val="0"/>
        <w:autoSpaceDN w:val="0"/>
        <w:adjustRightInd w:val="0"/>
      </w:pPr>
      <w:r>
        <w:t xml:space="preserve">           </w:t>
      </w:r>
      <w:r w:rsidRPr="00390482">
        <w:t>decisions that impact on them</w:t>
      </w:r>
    </w:p>
    <w:p w:rsidR="00B467C8" w:rsidRDefault="00B467C8" w:rsidP="00FC6451">
      <w:pPr>
        <w:autoSpaceDE w:val="0"/>
        <w:autoSpaceDN w:val="0"/>
        <w:adjustRightInd w:val="0"/>
      </w:pP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467C8">
        <w:tc>
          <w:tcPr>
            <w:tcW w:w="8522" w:type="dxa"/>
          </w:tcPr>
          <w:p w:rsidR="00B467C8" w:rsidRPr="00E724E1" w:rsidRDefault="00B467C8" w:rsidP="00E724E1">
            <w:pPr>
              <w:autoSpaceDE w:val="0"/>
              <w:autoSpaceDN w:val="0"/>
              <w:adjustRightInd w:val="0"/>
            </w:pPr>
            <w:r w:rsidRPr="00E724E1">
              <w:rPr>
                <w:sz w:val="22"/>
                <w:szCs w:val="22"/>
              </w:rPr>
              <w:t xml:space="preserve">The Culture Strategy will be heavily reliant on partnership working and this was factored into the consultation processes post April 2012, with invitations for comments sent to 500 Oxford-based cultural, educational and community organisations. Feedback and suggestions from this consultation highlighted requests for a more explicit focus on diversity and tourism, a commitment to non-financial forms of support and some clarity on how the Culture Strategy will be implemented. </w:t>
            </w:r>
          </w:p>
          <w:p w:rsidR="00B467C8" w:rsidRPr="00E724E1" w:rsidRDefault="00B467C8" w:rsidP="00E724E1">
            <w:pPr>
              <w:autoSpaceDE w:val="0"/>
              <w:autoSpaceDN w:val="0"/>
              <w:adjustRightInd w:val="0"/>
            </w:pPr>
          </w:p>
          <w:p w:rsidR="00B467C8" w:rsidRPr="00E724E1" w:rsidRDefault="00B467C8" w:rsidP="00E724E1">
            <w:pPr>
              <w:autoSpaceDE w:val="0"/>
              <w:autoSpaceDN w:val="0"/>
              <w:adjustRightInd w:val="0"/>
            </w:pPr>
            <w:r w:rsidRPr="00E724E1">
              <w:rPr>
                <w:sz w:val="22"/>
                <w:szCs w:val="22"/>
              </w:rPr>
              <w:t xml:space="preserve">There is a commitment to explore the barriers to participation in cultural activities faced by different sectors of the community and to find ways of removing them (contained within the objectives for each of the three main priorities). </w:t>
            </w:r>
            <w:r w:rsidRPr="00E724E1">
              <w:rPr>
                <w:color w:val="000000"/>
                <w:sz w:val="22"/>
                <w:szCs w:val="22"/>
              </w:rPr>
              <w:t xml:space="preserve">Statistics are available from DCMS and the Arts Council that indicate where some of the gaps are in terms of underrepresented groups accessing the arts. </w:t>
            </w:r>
          </w:p>
        </w:tc>
      </w:tr>
    </w:tbl>
    <w:p w:rsidR="00B467C8" w:rsidRDefault="00B467C8" w:rsidP="00FC6451">
      <w:pPr>
        <w:autoSpaceDE w:val="0"/>
        <w:autoSpaceDN w:val="0"/>
        <w:adjustRightInd w:val="0"/>
      </w:pPr>
    </w:p>
    <w:p w:rsidR="00B467C8" w:rsidRPr="00040397" w:rsidRDefault="00B467C8" w:rsidP="00FC6451">
      <w:pPr>
        <w:numPr>
          <w:ilvl w:val="0"/>
          <w:numId w:val="7"/>
        </w:numPr>
        <w:autoSpaceDE w:val="0"/>
        <w:autoSpaceDN w:val="0"/>
        <w:adjustRightInd w:val="0"/>
        <w:rPr>
          <w:lang w:eastAsia="en-GB"/>
        </w:rPr>
      </w:pPr>
      <w:r w:rsidRPr="00390482">
        <w:t xml:space="preserve">Can the adverse impacts you identified during the initial screening be justified without making any adjustments to the existing or new policy, strategy, procedure, project or service? </w:t>
      </w:r>
    </w:p>
    <w:p w:rsidR="00B467C8" w:rsidRDefault="00B467C8" w:rsidP="00FC6451">
      <w:pPr>
        <w:autoSpaceDE w:val="0"/>
        <w:autoSpaceDN w:val="0"/>
        <w:adjustRightInd w:val="0"/>
        <w:ind w:left="720"/>
        <w:rPr>
          <w:lang w:eastAsia="en-GB"/>
        </w:rPr>
      </w:pPr>
    </w:p>
    <w:p w:rsidR="00B467C8" w:rsidRPr="00D70EAD" w:rsidRDefault="00B467C8" w:rsidP="00FC6451">
      <w:pPr>
        <w:autoSpaceDE w:val="0"/>
        <w:autoSpaceDN w:val="0"/>
        <w:adjustRightInd w:val="0"/>
        <w:ind w:left="360"/>
        <w:rPr>
          <w:lang w:eastAsia="en-GB"/>
        </w:rPr>
      </w:pPr>
      <w:r>
        <w:rPr>
          <w:lang w:eastAsia="en-GB"/>
        </w:rPr>
        <w:t xml:space="preserve">      </w:t>
      </w:r>
      <w:r w:rsidRPr="00390482">
        <w:t>Please set out the basis on which you justify making no adjustments</w:t>
      </w:r>
    </w:p>
    <w:p w:rsidR="00B467C8" w:rsidRDefault="00B467C8" w:rsidP="00FC6451">
      <w:pPr>
        <w:autoSpaceDE w:val="0"/>
        <w:autoSpaceDN w:val="0"/>
        <w:adjustRightInd w:val="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467C8">
        <w:tc>
          <w:tcPr>
            <w:tcW w:w="8522" w:type="dxa"/>
          </w:tcPr>
          <w:p w:rsidR="00B467C8" w:rsidRPr="00E724E1" w:rsidRDefault="00B467C8" w:rsidP="00E724E1">
            <w:pPr>
              <w:autoSpaceDE w:val="0"/>
              <w:autoSpaceDN w:val="0"/>
              <w:adjustRightInd w:val="0"/>
              <w:rPr>
                <w:lang w:eastAsia="en-GB"/>
              </w:rPr>
            </w:pPr>
            <w:r w:rsidRPr="00E724E1">
              <w:rPr>
                <w:sz w:val="22"/>
                <w:szCs w:val="22"/>
                <w:lang w:eastAsia="en-GB"/>
              </w:rPr>
              <w:t>It is difficult to anticipate any adverse impacts as the rationale behind the strategy is to increase access and remove barriers to involvement in arts activities/ events.</w:t>
            </w:r>
          </w:p>
          <w:p w:rsidR="00B467C8" w:rsidRPr="00E724E1" w:rsidRDefault="00B467C8" w:rsidP="00E724E1">
            <w:pPr>
              <w:autoSpaceDE w:val="0"/>
              <w:autoSpaceDN w:val="0"/>
              <w:adjustRightInd w:val="0"/>
              <w:rPr>
                <w:lang w:eastAsia="en-GB"/>
              </w:rPr>
            </w:pPr>
          </w:p>
          <w:p w:rsidR="00B467C8" w:rsidRPr="00E724E1" w:rsidRDefault="00B467C8" w:rsidP="00E724E1">
            <w:pPr>
              <w:autoSpaceDE w:val="0"/>
              <w:autoSpaceDN w:val="0"/>
              <w:adjustRightInd w:val="0"/>
              <w:rPr>
                <w:lang w:eastAsia="en-GB"/>
              </w:rPr>
            </w:pPr>
            <w:r w:rsidRPr="00E724E1">
              <w:rPr>
                <w:sz w:val="22"/>
                <w:szCs w:val="22"/>
                <w:lang w:eastAsia="en-GB"/>
              </w:rPr>
              <w:t xml:space="preserve">The Council has previously implemented a number of initiatives to offset access issues. These have included subsidised ticket schemes of up to 50% for U26 year olds as part of the national “Good Night Out” programme. </w:t>
            </w:r>
          </w:p>
          <w:p w:rsidR="00B467C8" w:rsidRPr="00E724E1" w:rsidRDefault="00B467C8" w:rsidP="00E724E1">
            <w:pPr>
              <w:autoSpaceDE w:val="0"/>
              <w:autoSpaceDN w:val="0"/>
              <w:adjustRightInd w:val="0"/>
              <w:rPr>
                <w:lang w:eastAsia="en-GB"/>
              </w:rPr>
            </w:pPr>
          </w:p>
          <w:p w:rsidR="00B467C8" w:rsidRPr="00E724E1" w:rsidRDefault="00B467C8" w:rsidP="00E724E1">
            <w:pPr>
              <w:autoSpaceDE w:val="0"/>
              <w:autoSpaceDN w:val="0"/>
              <w:adjustRightInd w:val="0"/>
              <w:rPr>
                <w:lang w:eastAsia="en-GB"/>
              </w:rPr>
            </w:pPr>
            <w:r w:rsidRPr="00E724E1">
              <w:rPr>
                <w:sz w:val="22"/>
                <w:szCs w:val="22"/>
                <w:lang w:eastAsia="en-GB"/>
              </w:rPr>
              <w:t xml:space="preserve">Workshop Clubs have targeted NEETs and been run by the Pegasus Theatre, while a dedicated City Dance Development Officer (although a part time resource) has set up and extended funding for over 50s dance projects. </w:t>
            </w:r>
          </w:p>
          <w:p w:rsidR="00B467C8" w:rsidRPr="00E724E1" w:rsidRDefault="00B467C8" w:rsidP="00E724E1">
            <w:pPr>
              <w:autoSpaceDE w:val="0"/>
              <w:autoSpaceDN w:val="0"/>
              <w:adjustRightInd w:val="0"/>
              <w:rPr>
                <w:lang w:eastAsia="en-GB"/>
              </w:rPr>
            </w:pPr>
          </w:p>
          <w:p w:rsidR="00B467C8" w:rsidRPr="00E724E1" w:rsidRDefault="00B467C8" w:rsidP="00E724E1">
            <w:pPr>
              <w:autoSpaceDE w:val="0"/>
              <w:autoSpaceDN w:val="0"/>
              <w:adjustRightInd w:val="0"/>
              <w:rPr>
                <w:lang w:eastAsia="en-GB"/>
              </w:rPr>
            </w:pPr>
            <w:r w:rsidRPr="00E724E1">
              <w:rPr>
                <w:sz w:val="22"/>
                <w:szCs w:val="22"/>
                <w:lang w:eastAsia="en-GB"/>
              </w:rPr>
              <w:t xml:space="preserve">The City will use its current strengths in community engagement and cohesion to develop outreach programmes and will use available grant support (currently around £250k for the arts and cultural sectors) to enable other partners to facilitate activities, with some of the main equality and inclusion objectives within the strategy being: </w:t>
            </w:r>
          </w:p>
          <w:p w:rsidR="00B467C8" w:rsidRPr="00E724E1" w:rsidRDefault="00B467C8" w:rsidP="00525DAA">
            <w:pPr>
              <w:rPr>
                <w:b/>
                <w:bCs/>
              </w:rPr>
            </w:pPr>
          </w:p>
          <w:p w:rsidR="00B467C8" w:rsidRPr="00E724E1" w:rsidRDefault="00B467C8" w:rsidP="00E724E1">
            <w:pPr>
              <w:pStyle w:val="Footer"/>
              <w:numPr>
                <w:ilvl w:val="0"/>
                <w:numId w:val="11"/>
              </w:numPr>
              <w:tabs>
                <w:tab w:val="clear" w:pos="4153"/>
                <w:tab w:val="clear" w:pos="8306"/>
              </w:tabs>
            </w:pPr>
            <w:r w:rsidRPr="00E724E1">
              <w:rPr>
                <w:sz w:val="22"/>
                <w:szCs w:val="22"/>
              </w:rPr>
              <w:t xml:space="preserve">Work to explore and remove barriers to participation and enable access to quality arts provision for those communities and groups who are currently excluded. </w:t>
            </w:r>
          </w:p>
          <w:p w:rsidR="00B467C8" w:rsidRPr="00E724E1" w:rsidRDefault="00B467C8" w:rsidP="00E724E1">
            <w:pPr>
              <w:pStyle w:val="Footer"/>
              <w:numPr>
                <w:ilvl w:val="0"/>
                <w:numId w:val="11"/>
              </w:numPr>
              <w:tabs>
                <w:tab w:val="clear" w:pos="4153"/>
                <w:tab w:val="clear" w:pos="8306"/>
              </w:tabs>
            </w:pPr>
            <w:r w:rsidRPr="00E724E1">
              <w:rPr>
                <w:sz w:val="22"/>
                <w:szCs w:val="22"/>
              </w:rPr>
              <w:t>Work in partnership with the cultural sector to identify gaps in arts provision and support activity which addresses these gaps.</w:t>
            </w:r>
          </w:p>
          <w:p w:rsidR="00B467C8" w:rsidRPr="00E724E1" w:rsidRDefault="00B467C8" w:rsidP="00E724E1">
            <w:pPr>
              <w:pStyle w:val="AC-Bullet"/>
              <w:numPr>
                <w:ilvl w:val="0"/>
                <w:numId w:val="11"/>
              </w:numPr>
              <w:spacing w:after="0"/>
              <w:ind w:right="0"/>
              <w:rPr>
                <w:color w:val="auto"/>
                <w:sz w:val="20"/>
                <w:szCs w:val="20"/>
              </w:rPr>
            </w:pPr>
            <w:r w:rsidRPr="00E724E1">
              <w:rPr>
                <w:color w:val="auto"/>
                <w:sz w:val="20"/>
                <w:szCs w:val="20"/>
              </w:rPr>
              <w:t xml:space="preserve">Work with NPOs and Oxford ASPIRE to develop a detailed understanding of current audiences in order to better identify gaps in engagement and take a joint approach to audience development. </w:t>
            </w:r>
          </w:p>
          <w:p w:rsidR="00B467C8" w:rsidRPr="00E724E1" w:rsidRDefault="00B467C8" w:rsidP="00E724E1">
            <w:pPr>
              <w:pStyle w:val="Footer"/>
              <w:numPr>
                <w:ilvl w:val="0"/>
                <w:numId w:val="11"/>
              </w:numPr>
              <w:tabs>
                <w:tab w:val="clear" w:pos="4153"/>
                <w:tab w:val="clear" w:pos="8306"/>
              </w:tabs>
            </w:pPr>
            <w:r w:rsidRPr="00E724E1">
              <w:rPr>
                <w:sz w:val="22"/>
                <w:szCs w:val="22"/>
              </w:rPr>
              <w:t>Support activities, events and audience development schemes aimed at reaching, engaging and celebrating Oxford’s diverse communities.</w:t>
            </w:r>
          </w:p>
          <w:p w:rsidR="00B467C8" w:rsidRPr="00A626E8" w:rsidRDefault="00B467C8" w:rsidP="00E724E1">
            <w:pPr>
              <w:pStyle w:val="AC-Bullet"/>
              <w:numPr>
                <w:ilvl w:val="0"/>
                <w:numId w:val="11"/>
              </w:numPr>
              <w:spacing w:after="0"/>
              <w:ind w:right="0"/>
              <w:jc w:val="both"/>
              <w:rPr>
                <w:sz w:val="24"/>
                <w:szCs w:val="24"/>
              </w:rPr>
            </w:pPr>
            <w:r w:rsidRPr="00A626E8">
              <w:rPr>
                <w:color w:val="auto"/>
                <w:sz w:val="24"/>
                <w:szCs w:val="24"/>
              </w:rPr>
              <w:t>Support and develop collaborative initiatives to improve creative skills, and provide mentoring and professional development opportunities for all sections of the community, including elderly or disabled groups.</w:t>
            </w:r>
          </w:p>
          <w:p w:rsidR="00B467C8" w:rsidRPr="00E724E1" w:rsidRDefault="00B467C8" w:rsidP="00E724E1">
            <w:pPr>
              <w:pStyle w:val="Footer"/>
              <w:numPr>
                <w:ilvl w:val="0"/>
                <w:numId w:val="11"/>
              </w:numPr>
              <w:tabs>
                <w:tab w:val="clear" w:pos="4153"/>
                <w:tab w:val="clear" w:pos="8306"/>
              </w:tabs>
              <w:rPr>
                <w:lang w:eastAsia="en-GB"/>
              </w:rPr>
            </w:pPr>
            <w:r w:rsidRPr="00E724E1">
              <w:rPr>
                <w:sz w:val="22"/>
                <w:szCs w:val="22"/>
              </w:rPr>
              <w:t>Support arts and cultural organisations to embed diversity into their work and management, for example through building on the recommendations of Arts Council England’s report, The Role of Diversity in Building Adaptive Resilience.</w:t>
            </w:r>
          </w:p>
          <w:p w:rsidR="00B467C8" w:rsidRPr="00E724E1" w:rsidRDefault="00B467C8" w:rsidP="00E724E1">
            <w:pPr>
              <w:autoSpaceDE w:val="0"/>
              <w:autoSpaceDN w:val="0"/>
              <w:adjustRightInd w:val="0"/>
              <w:rPr>
                <w:lang w:eastAsia="en-GB"/>
              </w:rPr>
            </w:pPr>
          </w:p>
          <w:p w:rsidR="00B467C8" w:rsidRPr="00E724E1" w:rsidRDefault="00B467C8" w:rsidP="00E724E1">
            <w:pPr>
              <w:autoSpaceDE w:val="0"/>
              <w:autoSpaceDN w:val="0"/>
              <w:adjustRightInd w:val="0"/>
              <w:rPr>
                <w:lang w:eastAsia="en-GB"/>
              </w:rPr>
            </w:pPr>
            <w:r w:rsidRPr="00E724E1">
              <w:rPr>
                <w:sz w:val="22"/>
                <w:szCs w:val="22"/>
                <w:lang w:eastAsia="en-GB"/>
              </w:rPr>
              <w:t xml:space="preserve">Effective partnership working should also ensure that the Council will be able to play a visible local leadership role in influencing and </w:t>
            </w:r>
            <w:r w:rsidRPr="00E724E1">
              <w:rPr>
                <w:sz w:val="22"/>
                <w:szCs w:val="22"/>
              </w:rPr>
              <w:t xml:space="preserve">encouraging volunteer schemes, creative apprenticeships and paid bursary/internship schemes for young people and diverse communities. </w:t>
            </w:r>
          </w:p>
        </w:tc>
      </w:tr>
    </w:tbl>
    <w:p w:rsidR="00B467C8" w:rsidRPr="00390482" w:rsidRDefault="00B467C8" w:rsidP="00FC6451">
      <w:pPr>
        <w:autoSpaceDE w:val="0"/>
        <w:autoSpaceDN w:val="0"/>
        <w:adjustRightInd w:val="0"/>
        <w:rPr>
          <w:lang w:eastAsia="en-GB"/>
        </w:rPr>
      </w:pPr>
    </w:p>
    <w:p w:rsidR="00B467C8" w:rsidRDefault="00B467C8" w:rsidP="00FC6451">
      <w:pPr>
        <w:pStyle w:val="Normal2"/>
        <w:numPr>
          <w:ilvl w:val="0"/>
          <w:numId w:val="7"/>
        </w:numPr>
      </w:pPr>
      <w:r w:rsidRPr="00390482">
        <w:t xml:space="preserve">You are legally required to monitor and review the proposed changes after implementation to check they work as planned and to screen for unexpected equality impacts. </w:t>
      </w:r>
    </w:p>
    <w:p w:rsidR="00B467C8" w:rsidRDefault="00B467C8" w:rsidP="00FC6451">
      <w:pPr>
        <w:pStyle w:val="Normal2"/>
      </w:pPr>
    </w:p>
    <w:p w:rsidR="00B467C8" w:rsidRDefault="00B467C8" w:rsidP="00FC6451">
      <w:pPr>
        <w:pStyle w:val="Normal2"/>
        <w:ind w:left="360"/>
      </w:pPr>
      <w:r>
        <w:t xml:space="preserve">      </w:t>
      </w:r>
      <w:r w:rsidRPr="00390482">
        <w:t xml:space="preserve">Please provide details of how you will monitor/evaluate or review your </w:t>
      </w:r>
    </w:p>
    <w:p w:rsidR="00B467C8" w:rsidRDefault="00B467C8" w:rsidP="00FC6451">
      <w:pPr>
        <w:pStyle w:val="Normal2"/>
        <w:ind w:left="360"/>
      </w:pPr>
      <w:r>
        <w:t xml:space="preserve">      </w:t>
      </w:r>
      <w:r w:rsidRPr="00390482">
        <w:t>proposals and when the review will take place</w:t>
      </w:r>
      <w:r>
        <w:t xml:space="preserve"> </w:t>
      </w:r>
    </w:p>
    <w:p w:rsidR="00B467C8" w:rsidRDefault="00B467C8" w:rsidP="00FC6451">
      <w:pPr>
        <w:rPr>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467C8">
        <w:tc>
          <w:tcPr>
            <w:tcW w:w="8522" w:type="dxa"/>
          </w:tcPr>
          <w:p w:rsidR="00B467C8" w:rsidRPr="00E724E1" w:rsidRDefault="00B467C8" w:rsidP="00525DAA">
            <w:pPr>
              <w:rPr>
                <w:lang w:eastAsia="en-GB"/>
              </w:rPr>
            </w:pPr>
            <w:r w:rsidRPr="00E724E1">
              <w:rPr>
                <w:sz w:val="22"/>
                <w:szCs w:val="22"/>
              </w:rPr>
              <w:t>A delivery framework, including milestones and performance indicators to measure success linked to the objectives of City Council staff and the Service Level Agreements of commissioned organisations, will underpin the Strategy. Delivery will be monitored quarterly by the Cultural Action Group and by the City Executive Board on a six-monthly basis. The Cultural Development Manager will undertake an Annual Review of activity to evaluate performance against the Culture Strategy objectives.</w:t>
            </w:r>
          </w:p>
        </w:tc>
      </w:tr>
    </w:tbl>
    <w:p w:rsidR="00B467C8" w:rsidRPr="00D70EAD" w:rsidRDefault="00B467C8" w:rsidP="00FC6451">
      <w:pPr>
        <w:rPr>
          <w:lang w:eastAsia="en-GB"/>
        </w:rPr>
      </w:pPr>
    </w:p>
    <w:p w:rsidR="00B467C8" w:rsidRDefault="00B467C8" w:rsidP="00FC6451">
      <w:r>
        <w:t>Lead officer responsible for signing off the EqIA: Jarlath Brine</w:t>
      </w:r>
    </w:p>
    <w:p w:rsidR="00B467C8" w:rsidRDefault="00B467C8" w:rsidP="00FC6451"/>
    <w:p w:rsidR="00B467C8" w:rsidRDefault="00B467C8" w:rsidP="00FC6451">
      <w:r>
        <w:t xml:space="preserve">Role: </w:t>
      </w:r>
      <w:r w:rsidRPr="009248CB">
        <w:rPr>
          <w:rStyle w:val="Emphasis"/>
          <w:rFonts w:cs="Arial"/>
          <w:i w:val="0"/>
          <w:iCs w:val="0"/>
        </w:rPr>
        <w:t>Equalities &amp; Diversity Business Partner/ Apprentice Project Leader</w:t>
      </w:r>
    </w:p>
    <w:p w:rsidR="00B467C8" w:rsidRDefault="00B467C8" w:rsidP="00FC6451"/>
    <w:p w:rsidR="00B467C8" w:rsidRDefault="00B467C8" w:rsidP="00FC6451">
      <w:r>
        <w:t xml:space="preserve">Date: 19.11.12  </w:t>
      </w:r>
    </w:p>
    <w:p w:rsidR="00B467C8" w:rsidRDefault="00B467C8" w:rsidP="00FC6451">
      <w:r>
        <w:t xml:space="preserve">    </w:t>
      </w:r>
    </w:p>
    <w:p w:rsidR="00B467C8" w:rsidRDefault="00B467C8" w:rsidP="00FC6451">
      <w:r>
        <w:t>Note, please consider &amp; include the following areas:</w:t>
      </w:r>
    </w:p>
    <w:p w:rsidR="00B467C8" w:rsidRDefault="00B467C8" w:rsidP="00FC6451"/>
    <w:p w:rsidR="00B467C8" w:rsidRDefault="00B467C8" w:rsidP="00FC6451">
      <w:pPr>
        <w:numPr>
          <w:ilvl w:val="0"/>
          <w:numId w:val="8"/>
        </w:numPr>
      </w:pPr>
      <w:r>
        <w:t>Summary of the impacts of any individual policies</w:t>
      </w:r>
    </w:p>
    <w:p w:rsidR="00B467C8" w:rsidRDefault="00B467C8" w:rsidP="00FC6451">
      <w:pPr>
        <w:numPr>
          <w:ilvl w:val="0"/>
          <w:numId w:val="8"/>
        </w:numPr>
      </w:pPr>
      <w:r>
        <w:t>Specific impact tests (e.g. statutory equality duties, social, regeneration and sustainability)</w:t>
      </w:r>
    </w:p>
    <w:p w:rsidR="00B467C8" w:rsidRDefault="00B467C8" w:rsidP="00FC6451">
      <w:pPr>
        <w:numPr>
          <w:ilvl w:val="0"/>
          <w:numId w:val="8"/>
        </w:numPr>
      </w:pPr>
      <w:r>
        <w:t>Post implementation review plan (consider the basis for the review, objectives and how these will be measured, impacts and outcomes including the “unknown”)</w:t>
      </w:r>
    </w:p>
    <w:p w:rsidR="00B467C8" w:rsidRPr="00D70EAD" w:rsidRDefault="00B467C8" w:rsidP="00FC6451">
      <w:pPr>
        <w:numPr>
          <w:ilvl w:val="0"/>
          <w:numId w:val="8"/>
        </w:numPr>
      </w:pPr>
      <w:r>
        <w:t>Potential data sources (attach hyperlinks including Government impact assessments where relevant)</w:t>
      </w:r>
    </w:p>
    <w:p w:rsidR="00B467C8" w:rsidRDefault="00B467C8">
      <w:pPr>
        <w:rPr>
          <w:b/>
          <w:bCs/>
        </w:rPr>
        <w:sectPr w:rsidR="00B467C8">
          <w:pgSz w:w="11906" w:h="16838"/>
          <w:pgMar w:top="1440" w:right="1440" w:bottom="1440" w:left="1440" w:header="708" w:footer="16" w:gutter="0"/>
          <w:cols w:space="708"/>
          <w:rtlGutter/>
          <w:docGrid w:linePitch="360"/>
        </w:sectPr>
      </w:pPr>
    </w:p>
    <w:p w:rsidR="00B467C8" w:rsidRDefault="00B467C8">
      <w:pPr>
        <w:rPr>
          <w:b/>
          <w:bCs/>
        </w:rPr>
      </w:pPr>
      <w:r>
        <w:rPr>
          <w:b/>
          <w:bCs/>
        </w:rPr>
        <w:t>Appendix 3</w:t>
      </w:r>
    </w:p>
    <w:p w:rsidR="00B467C8" w:rsidRDefault="00B467C8">
      <w:pPr>
        <w:rPr>
          <w:b/>
          <w:bCs/>
        </w:rPr>
      </w:pPr>
      <w:r>
        <w:rPr>
          <w:b/>
          <w:bCs/>
        </w:rPr>
        <w:t>Risk Assessment</w:t>
      </w:r>
    </w:p>
    <w:p w:rsidR="00B467C8" w:rsidRDefault="00B467C8" w:rsidP="00C32A55">
      <w:pPr>
        <w:jc w:val="center"/>
        <w:rPr>
          <w:b/>
          <w:bCs/>
        </w:rPr>
      </w:pPr>
      <w:r>
        <w:rPr>
          <w:b/>
          <w:bCs/>
        </w:rPr>
        <w:t>Nominations to Outside Organisations</w:t>
      </w:r>
    </w:p>
    <w:p w:rsidR="00B467C8" w:rsidRDefault="00B467C8" w:rsidP="00C32A55">
      <w:pPr>
        <w:rPr>
          <w:b/>
          <w:bCs/>
        </w:rPr>
      </w:pPr>
    </w:p>
    <w:tbl>
      <w:tblPr>
        <w:tblW w:w="15146" w:type="dxa"/>
        <w:tblInd w:w="2" w:type="dxa"/>
        <w:tblCellMar>
          <w:left w:w="0" w:type="dxa"/>
          <w:right w:w="0" w:type="dxa"/>
        </w:tblCellMar>
        <w:tblLook w:val="0000"/>
      </w:tblPr>
      <w:tblGrid>
        <w:gridCol w:w="606"/>
        <w:gridCol w:w="2125"/>
        <w:gridCol w:w="428"/>
        <w:gridCol w:w="432"/>
        <w:gridCol w:w="2293"/>
        <w:gridCol w:w="2204"/>
        <w:gridCol w:w="344"/>
        <w:gridCol w:w="350"/>
        <w:gridCol w:w="1460"/>
        <w:gridCol w:w="1719"/>
        <w:gridCol w:w="537"/>
        <w:gridCol w:w="537"/>
        <w:gridCol w:w="537"/>
        <w:gridCol w:w="537"/>
        <w:gridCol w:w="518"/>
        <w:gridCol w:w="519"/>
      </w:tblGrid>
      <w:tr w:rsidR="00B467C8">
        <w:tc>
          <w:tcPr>
            <w:tcW w:w="15146"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 xml:space="preserve">Risk Score </w:t>
            </w:r>
            <w:r>
              <w:rPr>
                <w:b/>
                <w:bCs/>
                <w:sz w:val="20"/>
                <w:szCs w:val="20"/>
                <w:lang w:val="en-US"/>
              </w:rPr>
              <w:t xml:space="preserve">Impact Score: </w:t>
            </w:r>
            <w:r>
              <w:rPr>
                <w:sz w:val="20"/>
                <w:szCs w:val="20"/>
                <w:lang w:val="en-US"/>
              </w:rPr>
              <w:t xml:space="preserve">1=insignificant; 2=Minor; 3=Moderate; 4=Major; 5=Catastrophic </w:t>
            </w:r>
            <w:r>
              <w:rPr>
                <w:b/>
                <w:bCs/>
                <w:sz w:val="20"/>
                <w:szCs w:val="20"/>
                <w:lang w:val="en-US"/>
              </w:rPr>
              <w:t>Probability Score:</w:t>
            </w:r>
            <w:r>
              <w:rPr>
                <w:sz w:val="20"/>
                <w:szCs w:val="20"/>
                <w:lang w:val="en-US"/>
              </w:rPr>
              <w:t xml:space="preserve"> 1=Rare; 2=Unlikely; 3=Possible; 4=Likely; 5=Almost Certain</w:t>
            </w:r>
          </w:p>
        </w:tc>
      </w:tr>
      <w:tr w:rsidR="00B467C8">
        <w:tc>
          <w:tcPr>
            <w:tcW w:w="606" w:type="dxa"/>
            <w:tcBorders>
              <w:top w:val="single" w:sz="8" w:space="0" w:color="auto"/>
              <w:left w:val="single" w:sz="8" w:space="0" w:color="auto"/>
              <w:bottom w:val="single" w:sz="8" w:space="0" w:color="auto"/>
              <w:right w:val="single" w:sz="8" w:space="0" w:color="auto"/>
            </w:tcBorders>
          </w:tcPr>
          <w:p w:rsidR="00B467C8" w:rsidRDefault="00B467C8" w:rsidP="002E69CE">
            <w:pPr>
              <w:rPr>
                <w:sz w:val="20"/>
                <w:szCs w:val="20"/>
                <w:lang w:val="en-US"/>
              </w:rPr>
            </w:pPr>
            <w:r>
              <w:rPr>
                <w:sz w:val="20"/>
                <w:szCs w:val="20"/>
                <w:lang w:val="en-US"/>
              </w:rPr>
              <w:t>No.</w:t>
            </w:r>
          </w:p>
        </w:tc>
        <w:tc>
          <w:tcPr>
            <w:tcW w:w="2125" w:type="dxa"/>
            <w:tcBorders>
              <w:top w:val="single" w:sz="8" w:space="0" w:color="auto"/>
              <w:left w:val="nil"/>
              <w:bottom w:val="single" w:sz="8" w:space="0" w:color="auto"/>
              <w:right w:val="single" w:sz="8" w:space="0" w:color="auto"/>
            </w:tcBorders>
          </w:tcPr>
          <w:p w:rsidR="00B467C8" w:rsidRDefault="00B467C8" w:rsidP="002E69CE">
            <w:pPr>
              <w:rPr>
                <w:sz w:val="20"/>
                <w:szCs w:val="20"/>
                <w:lang w:val="en-US"/>
              </w:rPr>
            </w:pPr>
            <w:r>
              <w:rPr>
                <w:sz w:val="20"/>
                <w:szCs w:val="20"/>
                <w:lang w:val="en-US"/>
              </w:rPr>
              <w:t>Risk Description</w:t>
            </w:r>
          </w:p>
          <w:p w:rsidR="00B467C8" w:rsidRDefault="00B467C8" w:rsidP="002E69CE">
            <w:pPr>
              <w:rPr>
                <w:sz w:val="20"/>
                <w:szCs w:val="20"/>
                <w:lang w:val="en-US"/>
              </w:rPr>
            </w:pPr>
            <w:r>
              <w:rPr>
                <w:sz w:val="20"/>
                <w:szCs w:val="20"/>
                <w:lang w:val="en-US"/>
              </w:rPr>
              <w:t>Link to Corporate Objectives</w:t>
            </w:r>
          </w:p>
        </w:tc>
        <w:tc>
          <w:tcPr>
            <w:tcW w:w="860" w:type="dxa"/>
            <w:gridSpan w:val="2"/>
            <w:tcBorders>
              <w:top w:val="single" w:sz="8" w:space="0" w:color="auto"/>
              <w:left w:val="nil"/>
              <w:bottom w:val="single" w:sz="8" w:space="0" w:color="auto"/>
              <w:right w:val="single" w:sz="8" w:space="0" w:color="auto"/>
            </w:tcBorders>
          </w:tcPr>
          <w:p w:rsidR="00B467C8" w:rsidRDefault="00B467C8" w:rsidP="002E69CE">
            <w:pPr>
              <w:rPr>
                <w:sz w:val="20"/>
                <w:szCs w:val="20"/>
                <w:lang w:val="en-US"/>
              </w:rPr>
            </w:pPr>
            <w:r>
              <w:rPr>
                <w:sz w:val="20"/>
                <w:szCs w:val="20"/>
                <w:lang w:val="en-US"/>
              </w:rPr>
              <w:t>Gross Risk</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Cause of Risk</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Mitigation</w:t>
            </w:r>
          </w:p>
        </w:tc>
        <w:tc>
          <w:tcPr>
            <w:tcW w:w="6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Net Risk</w:t>
            </w: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Further Management of Risk:</w:t>
            </w:r>
          </w:p>
          <w:p w:rsidR="00B467C8" w:rsidRDefault="00B467C8" w:rsidP="002E69CE">
            <w:pPr>
              <w:rPr>
                <w:sz w:val="20"/>
                <w:szCs w:val="20"/>
                <w:lang w:val="en-US"/>
              </w:rPr>
            </w:pPr>
            <w:r>
              <w:rPr>
                <w:sz w:val="20"/>
                <w:szCs w:val="20"/>
                <w:lang w:val="en-US"/>
              </w:rPr>
              <w:t>Transfer/Accept/Reduce/Avoid</w:t>
            </w:r>
          </w:p>
        </w:tc>
        <w:tc>
          <w:tcPr>
            <w:tcW w:w="214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Monitoring Effectiveness</w:t>
            </w:r>
          </w:p>
        </w:tc>
        <w:tc>
          <w:tcPr>
            <w:tcW w:w="10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Current Risk</w:t>
            </w:r>
          </w:p>
        </w:tc>
      </w:tr>
      <w:tr w:rsidR="00B467C8">
        <w:trPr>
          <w:cantSplit/>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1.</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Change in Central</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Government and</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national and regional</w:t>
            </w:r>
          </w:p>
          <w:p w:rsidR="00B467C8" w:rsidRDefault="00B467C8" w:rsidP="00C32A55">
            <w:pPr>
              <w:rPr>
                <w:sz w:val="20"/>
                <w:szCs w:val="20"/>
                <w:lang w:val="en-US"/>
              </w:rPr>
            </w:pPr>
            <w:r>
              <w:rPr>
                <w:rFonts w:ascii="TT123E8o00" w:hAnsi="TT123E8o00" w:cs="TT123E8o00"/>
                <w:sz w:val="20"/>
                <w:szCs w:val="20"/>
                <w:lang w:eastAsia="en-GB"/>
              </w:rPr>
              <w:t>policy direction</w:t>
            </w:r>
          </w:p>
        </w:tc>
        <w:tc>
          <w:tcPr>
            <w:tcW w:w="428"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sz w:val="20"/>
                <w:szCs w:val="20"/>
                <w:lang w:val="en-US"/>
              </w:rPr>
            </w:pPr>
            <w:r>
              <w:rPr>
                <w:b/>
                <w:bCs/>
                <w:sz w:val="20"/>
                <w:szCs w:val="20"/>
                <w:lang w:val="en-US"/>
              </w:rPr>
              <w:t>I</w:t>
            </w:r>
          </w:p>
          <w:p w:rsidR="00B467C8" w:rsidRDefault="00B467C8" w:rsidP="002E69CE">
            <w:pPr>
              <w:rPr>
                <w:sz w:val="20"/>
                <w:szCs w:val="20"/>
                <w:lang w:val="en-US"/>
              </w:rPr>
            </w:pPr>
          </w:p>
          <w:p w:rsidR="00B467C8" w:rsidRDefault="00B467C8" w:rsidP="002E69CE">
            <w:pPr>
              <w:rPr>
                <w:sz w:val="20"/>
                <w:szCs w:val="20"/>
                <w:lang w:val="en-US"/>
              </w:rPr>
            </w:pPr>
            <w:r>
              <w:rPr>
                <w:sz w:val="20"/>
                <w:szCs w:val="20"/>
                <w:lang w:val="en-US"/>
              </w:rPr>
              <w:t>3</w:t>
            </w:r>
          </w:p>
        </w:tc>
        <w:tc>
          <w:tcPr>
            <w:tcW w:w="432"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sz w:val="20"/>
                <w:szCs w:val="20"/>
                <w:lang w:val="en-US"/>
              </w:rPr>
            </w:pPr>
            <w:r>
              <w:rPr>
                <w:b/>
                <w:bCs/>
                <w:sz w:val="20"/>
                <w:szCs w:val="20"/>
                <w:lang w:val="en-US"/>
              </w:rPr>
              <w:t>P</w:t>
            </w:r>
          </w:p>
          <w:p w:rsidR="00B467C8" w:rsidRDefault="00B467C8" w:rsidP="002E69CE">
            <w:pPr>
              <w:rPr>
                <w:sz w:val="20"/>
                <w:szCs w:val="20"/>
                <w:lang w:val="en-US"/>
              </w:rPr>
            </w:pPr>
          </w:p>
          <w:p w:rsidR="00B467C8" w:rsidRDefault="00B467C8" w:rsidP="002E69CE">
            <w:pPr>
              <w:rPr>
                <w:sz w:val="20"/>
                <w:szCs w:val="20"/>
                <w:lang w:val="en-US"/>
              </w:rPr>
            </w:pPr>
            <w:r>
              <w:rPr>
                <w:sz w:val="20"/>
                <w:szCs w:val="20"/>
                <w:lang w:val="en-US"/>
              </w:rPr>
              <w:t>4</w:t>
            </w:r>
          </w:p>
          <w:p w:rsidR="00B467C8" w:rsidRDefault="00B467C8" w:rsidP="002E69CE">
            <w:pPr>
              <w:rPr>
                <w:sz w:val="20"/>
                <w:szCs w:val="20"/>
                <w:lang w:val="en-US"/>
              </w:rPr>
            </w:pPr>
          </w:p>
        </w:tc>
        <w:tc>
          <w:tcPr>
            <w:tcW w:w="2293"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Central Government</w:t>
            </w:r>
          </w:p>
          <w:p w:rsidR="00B467C8" w:rsidRDefault="00B467C8" w:rsidP="00C32A55">
            <w:pPr>
              <w:rPr>
                <w:sz w:val="20"/>
                <w:szCs w:val="20"/>
                <w:lang w:val="en-US"/>
              </w:rPr>
            </w:pPr>
            <w:r>
              <w:rPr>
                <w:rFonts w:ascii="TT123E8o00" w:hAnsi="TT123E8o00" w:cs="TT123E8o00"/>
                <w:sz w:val="20"/>
                <w:szCs w:val="20"/>
                <w:lang w:eastAsia="en-GB"/>
              </w:rPr>
              <w:t>policy changes</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b/>
                <w:bCs/>
                <w:sz w:val="20"/>
                <w:szCs w:val="20"/>
                <w:lang w:val="en-US"/>
              </w:rPr>
              <w:t>Mitigating Control:</w:t>
            </w:r>
            <w:r>
              <w:rPr>
                <w:sz w:val="20"/>
                <w:szCs w:val="20"/>
                <w:lang w:val="en-US"/>
              </w:rPr>
              <w:t xml:space="preserve"> </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Keep up to date and</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monitor potential</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changes and the</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impact on the Oxford</w:t>
            </w:r>
          </w:p>
          <w:p w:rsidR="00B467C8" w:rsidRPr="00C32A55" w:rsidRDefault="00B467C8" w:rsidP="002E69CE">
            <w:pPr>
              <w:rPr>
                <w:rFonts w:ascii="TT123E8o00" w:hAnsi="TT123E8o00" w:cs="TT123E8o00"/>
                <w:sz w:val="20"/>
                <w:szCs w:val="20"/>
                <w:lang w:eastAsia="en-GB"/>
              </w:rPr>
            </w:pPr>
            <w:r>
              <w:rPr>
                <w:rFonts w:ascii="TT123E8o00" w:hAnsi="TT123E8o00" w:cs="TT123E8o00"/>
                <w:sz w:val="20"/>
                <w:szCs w:val="20"/>
                <w:lang w:eastAsia="en-GB"/>
              </w:rPr>
              <w:t>Strategy</w:t>
            </w:r>
          </w:p>
        </w:tc>
        <w:tc>
          <w:tcPr>
            <w:tcW w:w="344"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sz w:val="20"/>
                <w:szCs w:val="20"/>
                <w:lang w:val="en-US"/>
              </w:rPr>
            </w:pPr>
            <w:r>
              <w:rPr>
                <w:b/>
                <w:bCs/>
                <w:sz w:val="20"/>
                <w:szCs w:val="20"/>
                <w:lang w:val="en-US"/>
              </w:rPr>
              <w:t>I</w:t>
            </w:r>
          </w:p>
          <w:p w:rsidR="00B467C8" w:rsidRDefault="00B467C8" w:rsidP="002E69CE">
            <w:pPr>
              <w:rPr>
                <w:sz w:val="20"/>
                <w:szCs w:val="20"/>
                <w:lang w:val="en-US"/>
              </w:rPr>
            </w:pPr>
          </w:p>
          <w:p w:rsidR="00B467C8" w:rsidRDefault="00B467C8" w:rsidP="002E69CE">
            <w:pPr>
              <w:rPr>
                <w:sz w:val="20"/>
                <w:szCs w:val="20"/>
                <w:lang w:val="en-US"/>
              </w:rPr>
            </w:pPr>
            <w:r>
              <w:rPr>
                <w:sz w:val="20"/>
                <w:szCs w:val="20"/>
                <w:lang w:val="en-US"/>
              </w:rPr>
              <w:t>2</w:t>
            </w:r>
          </w:p>
        </w:tc>
        <w:tc>
          <w:tcPr>
            <w:tcW w:w="350"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sz w:val="20"/>
                <w:szCs w:val="20"/>
                <w:lang w:val="en-US"/>
              </w:rPr>
            </w:pPr>
            <w:r>
              <w:rPr>
                <w:b/>
                <w:bCs/>
                <w:sz w:val="20"/>
                <w:szCs w:val="20"/>
                <w:lang w:val="en-US"/>
              </w:rPr>
              <w:t>P</w:t>
            </w:r>
          </w:p>
          <w:p w:rsidR="00B467C8" w:rsidRDefault="00B467C8" w:rsidP="002E69CE">
            <w:pPr>
              <w:rPr>
                <w:sz w:val="20"/>
                <w:szCs w:val="20"/>
                <w:lang w:val="en-US"/>
              </w:rPr>
            </w:pPr>
          </w:p>
          <w:p w:rsidR="00B467C8" w:rsidRDefault="00B467C8" w:rsidP="002E69CE">
            <w:pPr>
              <w:rPr>
                <w:sz w:val="20"/>
                <w:szCs w:val="20"/>
                <w:lang w:val="en-US"/>
              </w:rPr>
            </w:pPr>
            <w:r>
              <w:rPr>
                <w:sz w:val="20"/>
                <w:szCs w:val="20"/>
                <w:lang w:val="en-US"/>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b/>
                <w:bCs/>
                <w:sz w:val="20"/>
                <w:szCs w:val="20"/>
                <w:lang w:val="en-US"/>
              </w:rPr>
              <w:t>Action:</w:t>
            </w:r>
            <w:r>
              <w:rPr>
                <w:sz w:val="20"/>
                <w:szCs w:val="20"/>
                <w:lang w:val="en-US"/>
              </w:rPr>
              <w:t xml:space="preserve"> </w:t>
            </w:r>
          </w:p>
          <w:p w:rsidR="00B467C8" w:rsidRDefault="00B467C8" w:rsidP="00C32A55">
            <w:pPr>
              <w:rPr>
                <w:sz w:val="20"/>
                <w:szCs w:val="20"/>
                <w:lang w:val="en-US"/>
              </w:rPr>
            </w:pPr>
            <w:r>
              <w:rPr>
                <w:b/>
                <w:bCs/>
                <w:sz w:val="20"/>
                <w:szCs w:val="20"/>
                <w:lang w:val="en-US"/>
              </w:rPr>
              <w:t>Owner</w:t>
            </w:r>
            <w:r>
              <w:rPr>
                <w:sz w:val="20"/>
                <w:szCs w:val="20"/>
                <w:lang w:val="en-US"/>
              </w:rPr>
              <w:t xml:space="preserve">: </w:t>
            </w:r>
          </w:p>
          <w:p w:rsidR="00B467C8" w:rsidRDefault="00B467C8" w:rsidP="002E69CE">
            <w:pPr>
              <w:rPr>
                <w:sz w:val="20"/>
                <w:szCs w:val="20"/>
                <w:lang w:val="en-US"/>
              </w:rPr>
            </w:pPr>
            <w:r>
              <w:rPr>
                <w:sz w:val="20"/>
                <w:szCs w:val="20"/>
                <w:lang w:val="en-US"/>
              </w:rPr>
              <w:t>Cultural Development Manager</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b/>
                <w:bCs/>
                <w:sz w:val="20"/>
                <w:szCs w:val="20"/>
                <w:lang w:val="en-US"/>
              </w:rPr>
              <w:t>Outcome required:</w:t>
            </w:r>
            <w:r>
              <w:rPr>
                <w:sz w:val="20"/>
                <w:szCs w:val="20"/>
                <w:lang w:val="en-US"/>
              </w:rPr>
              <w:t xml:space="preserve"> Delivery of Culture Strategy</w:t>
            </w:r>
          </w:p>
          <w:p w:rsidR="00B467C8" w:rsidRDefault="00B467C8" w:rsidP="002E69CE">
            <w:pPr>
              <w:rPr>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outlineLvl w:val="0"/>
              <w:rPr>
                <w:b/>
                <w:bCs/>
                <w:kern w:val="36"/>
                <w:lang w:val="en-US"/>
              </w:rPr>
            </w:pPr>
            <w:r>
              <w:rPr>
                <w:b/>
                <w:bCs/>
                <w:kern w:val="36"/>
                <w:lang w:val="en-US"/>
              </w:rPr>
              <w:t>Q1</w:t>
            </w:r>
          </w:p>
          <w:p w:rsidR="00B467C8" w:rsidRDefault="00B467C8" w:rsidP="002E69CE">
            <w:pPr>
              <w:rPr>
                <w:b/>
                <w:bCs/>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lang w:val="en-US"/>
              </w:rPr>
            </w:pPr>
            <w:r>
              <w:rPr>
                <w:b/>
                <w:bCs/>
                <w:lang w:val="en-US"/>
              </w:rPr>
              <w:t>Q2</w:t>
            </w:r>
          </w:p>
          <w:p w:rsidR="00B467C8" w:rsidRDefault="00B467C8" w:rsidP="002E69CE">
            <w:pPr>
              <w:rPr>
                <w:b/>
                <w:bCs/>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lang w:val="en-US"/>
              </w:rPr>
            </w:pPr>
            <w:r>
              <w:rPr>
                <w:b/>
                <w:bCs/>
                <w:lang w:val="en-US"/>
              </w:rPr>
              <w:t>Q3</w:t>
            </w:r>
          </w:p>
          <w:p w:rsidR="00B467C8" w:rsidRDefault="00B467C8" w:rsidP="002E69CE">
            <w:pPr>
              <w:rPr>
                <w:b/>
                <w:bCs/>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lang w:val="en-US"/>
              </w:rPr>
            </w:pPr>
            <w:r>
              <w:rPr>
                <w:b/>
                <w:bCs/>
                <w:lang w:val="en-US"/>
              </w:rPr>
              <w:t>Q4</w:t>
            </w:r>
          </w:p>
          <w:p w:rsidR="00B467C8" w:rsidRDefault="00B467C8" w:rsidP="002E69CE">
            <w:pPr>
              <w:rPr>
                <w:b/>
                <w:bCs/>
                <w:lang w:val="en-US"/>
              </w:rPr>
            </w:pPr>
          </w:p>
        </w:tc>
        <w:tc>
          <w:tcPr>
            <w:tcW w:w="518"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sz w:val="20"/>
                <w:szCs w:val="20"/>
                <w:lang w:val="en-US"/>
              </w:rPr>
            </w:pPr>
            <w:r>
              <w:rPr>
                <w:b/>
                <w:bCs/>
                <w:sz w:val="20"/>
                <w:szCs w:val="20"/>
                <w:lang w:val="en-US"/>
              </w:rPr>
              <w:t>I</w:t>
            </w:r>
          </w:p>
          <w:p w:rsidR="00B467C8" w:rsidRDefault="00B467C8" w:rsidP="002E69CE">
            <w:pPr>
              <w:rPr>
                <w:sz w:val="20"/>
                <w:szCs w:val="20"/>
                <w:lang w:val="en-US"/>
              </w:rPr>
            </w:pPr>
          </w:p>
          <w:p w:rsidR="00B467C8" w:rsidRDefault="00B467C8" w:rsidP="002E69CE">
            <w:pPr>
              <w:rPr>
                <w:sz w:val="20"/>
                <w:szCs w:val="20"/>
                <w:lang w:val="en-US"/>
              </w:rPr>
            </w:pPr>
            <w:r>
              <w:rPr>
                <w:sz w:val="20"/>
                <w:szCs w:val="20"/>
                <w:lang w:val="en-US"/>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sz w:val="20"/>
                <w:szCs w:val="20"/>
                <w:lang w:val="en-US"/>
              </w:rPr>
            </w:pPr>
            <w:r>
              <w:rPr>
                <w:b/>
                <w:bCs/>
                <w:sz w:val="20"/>
                <w:szCs w:val="20"/>
                <w:lang w:val="en-US"/>
              </w:rPr>
              <w:t>P</w:t>
            </w:r>
          </w:p>
          <w:p w:rsidR="00B467C8" w:rsidRDefault="00B467C8" w:rsidP="002E69CE">
            <w:pPr>
              <w:rPr>
                <w:sz w:val="20"/>
                <w:szCs w:val="20"/>
                <w:lang w:val="en-US"/>
              </w:rPr>
            </w:pPr>
          </w:p>
          <w:p w:rsidR="00B467C8" w:rsidRDefault="00B467C8" w:rsidP="002E69CE">
            <w:pPr>
              <w:rPr>
                <w:sz w:val="20"/>
                <w:szCs w:val="20"/>
                <w:lang w:val="en-US"/>
              </w:rPr>
            </w:pPr>
            <w:r>
              <w:rPr>
                <w:sz w:val="20"/>
                <w:szCs w:val="20"/>
                <w:lang w:val="en-US"/>
              </w:rPr>
              <w:t>4</w:t>
            </w:r>
          </w:p>
        </w:tc>
      </w:tr>
      <w:tr w:rsidR="00B467C8">
        <w:trPr>
          <w:cantSplit/>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2.</w:t>
            </w:r>
          </w:p>
        </w:tc>
        <w:tc>
          <w:tcPr>
            <w:tcW w:w="2125"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Change in Local</w:t>
            </w:r>
          </w:p>
          <w:p w:rsidR="00B467C8" w:rsidRDefault="00B467C8" w:rsidP="00C32A55">
            <w:pPr>
              <w:rPr>
                <w:sz w:val="20"/>
                <w:szCs w:val="20"/>
                <w:lang w:val="en-US"/>
              </w:rPr>
            </w:pPr>
            <w:r>
              <w:rPr>
                <w:rFonts w:ascii="TT123E8o00" w:hAnsi="TT123E8o00" w:cs="TT123E8o00"/>
                <w:sz w:val="20"/>
                <w:szCs w:val="20"/>
                <w:lang w:eastAsia="en-GB"/>
              </w:rPr>
              <w:t>Government</w:t>
            </w:r>
          </w:p>
        </w:tc>
        <w:tc>
          <w:tcPr>
            <w:tcW w:w="428"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3</w:t>
            </w:r>
          </w:p>
        </w:tc>
        <w:tc>
          <w:tcPr>
            <w:tcW w:w="432"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2</w:t>
            </w:r>
          </w:p>
        </w:tc>
        <w:tc>
          <w:tcPr>
            <w:tcW w:w="2293"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rFonts w:ascii="TT123E8o00" w:hAnsi="TT123E8o00" w:cs="TT123E8o00"/>
                <w:sz w:val="20"/>
                <w:szCs w:val="20"/>
                <w:lang w:eastAsia="en-GB"/>
              </w:rPr>
              <w:t>Elections</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C32A55">
            <w:pPr>
              <w:rPr>
                <w:sz w:val="20"/>
                <w:szCs w:val="20"/>
                <w:lang w:val="en-US"/>
              </w:rPr>
            </w:pPr>
            <w:r>
              <w:rPr>
                <w:b/>
                <w:bCs/>
                <w:sz w:val="20"/>
                <w:szCs w:val="20"/>
                <w:lang w:val="en-US"/>
              </w:rPr>
              <w:t>Mitigating Control:</w:t>
            </w:r>
            <w:r>
              <w:rPr>
                <w:sz w:val="20"/>
                <w:szCs w:val="20"/>
                <w:lang w:val="en-US"/>
              </w:rPr>
              <w:t xml:space="preserve"> </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To work closely with</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all members and</w:t>
            </w:r>
          </w:p>
          <w:p w:rsidR="00B467C8" w:rsidRDefault="00B467C8" w:rsidP="00C32A55">
            <w:pPr>
              <w:rPr>
                <w:sz w:val="20"/>
                <w:szCs w:val="20"/>
                <w:lang w:val="en-US"/>
              </w:rPr>
            </w:pPr>
            <w:r>
              <w:rPr>
                <w:rFonts w:ascii="TT123E8o00" w:hAnsi="TT123E8o00" w:cs="TT123E8o00"/>
                <w:sz w:val="20"/>
                <w:szCs w:val="20"/>
                <w:lang w:eastAsia="en-GB"/>
              </w:rPr>
              <w:t>Groups</w:t>
            </w:r>
          </w:p>
          <w:p w:rsidR="00B467C8" w:rsidRDefault="00B467C8" w:rsidP="002E69CE">
            <w:pPr>
              <w:rPr>
                <w:sz w:val="20"/>
                <w:szCs w:val="20"/>
                <w:lang w:val="en-US"/>
              </w:rPr>
            </w:pPr>
          </w:p>
        </w:tc>
        <w:tc>
          <w:tcPr>
            <w:tcW w:w="344"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3</w:t>
            </w:r>
          </w:p>
        </w:tc>
        <w:tc>
          <w:tcPr>
            <w:tcW w:w="350"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2</w:t>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sz w:val="20"/>
                <w:szCs w:val="20"/>
                <w:lang w:val="en-US"/>
              </w:rPr>
            </w:pPr>
            <w:r>
              <w:rPr>
                <w:b/>
                <w:bCs/>
                <w:sz w:val="20"/>
                <w:szCs w:val="20"/>
                <w:lang w:val="en-US"/>
              </w:rPr>
              <w:t>Action</w:t>
            </w:r>
          </w:p>
          <w:p w:rsidR="00B467C8" w:rsidRDefault="00B467C8" w:rsidP="002E69CE">
            <w:pPr>
              <w:rPr>
                <w:sz w:val="20"/>
                <w:szCs w:val="20"/>
                <w:lang w:val="en-US"/>
              </w:rPr>
            </w:pPr>
            <w:r>
              <w:rPr>
                <w:b/>
                <w:bCs/>
                <w:sz w:val="20"/>
                <w:szCs w:val="20"/>
                <w:lang w:val="en-US"/>
              </w:rPr>
              <w:t>Owner</w:t>
            </w:r>
            <w:r>
              <w:rPr>
                <w:sz w:val="20"/>
                <w:szCs w:val="20"/>
                <w:lang w:val="en-US"/>
              </w:rPr>
              <w:t>: Cultural Development Manager</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C32A55">
            <w:pPr>
              <w:rPr>
                <w:sz w:val="20"/>
                <w:szCs w:val="20"/>
                <w:lang w:val="en-US"/>
              </w:rPr>
            </w:pPr>
            <w:r>
              <w:rPr>
                <w:b/>
                <w:bCs/>
                <w:sz w:val="20"/>
                <w:szCs w:val="20"/>
                <w:lang w:val="en-US"/>
              </w:rPr>
              <w:t>Outcome required:</w:t>
            </w:r>
            <w:r>
              <w:rPr>
                <w:sz w:val="20"/>
                <w:szCs w:val="20"/>
                <w:lang w:val="en-US"/>
              </w:rPr>
              <w:t xml:space="preserve"> Delivery of Culture Strategy</w:t>
            </w:r>
          </w:p>
          <w:p w:rsidR="00B467C8" w:rsidRDefault="00B467C8" w:rsidP="002E69CE">
            <w:pPr>
              <w:rPr>
                <w:b/>
                <w:bCs/>
                <w:sz w:val="20"/>
                <w:szCs w:val="20"/>
                <w:lang w:val="en-US"/>
              </w:rPr>
            </w:pPr>
          </w:p>
          <w:p w:rsidR="00B467C8" w:rsidRDefault="00B467C8" w:rsidP="002E69CE">
            <w:pPr>
              <w:rPr>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37"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18"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3</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2</w:t>
            </w:r>
          </w:p>
        </w:tc>
      </w:tr>
      <w:tr w:rsidR="00B467C8">
        <w:trPr>
          <w:cantSplit/>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3.</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Lack of resources to deliver strategy</w:t>
            </w:r>
          </w:p>
        </w:tc>
        <w:tc>
          <w:tcPr>
            <w:tcW w:w="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3</w:t>
            </w:r>
          </w:p>
        </w:tc>
        <w:tc>
          <w:tcPr>
            <w:tcW w:w="4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4</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rFonts w:ascii="TT123E8o00" w:hAnsi="TT123E8o00" w:cs="TT123E8o00"/>
                <w:sz w:val="20"/>
                <w:szCs w:val="20"/>
                <w:lang w:eastAsia="en-GB"/>
              </w:rPr>
            </w:pPr>
            <w:r>
              <w:rPr>
                <w:rFonts w:ascii="TT123E8o00" w:hAnsi="TT123E8o00" w:cs="TT123E8o00"/>
                <w:sz w:val="20"/>
                <w:szCs w:val="20"/>
                <w:lang w:eastAsia="en-GB"/>
              </w:rPr>
              <w:t>Staff member leaving</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Pr="00C32A55" w:rsidRDefault="00B467C8" w:rsidP="00C32A55">
            <w:pPr>
              <w:rPr>
                <w:sz w:val="20"/>
                <w:szCs w:val="20"/>
                <w:lang w:val="en-US"/>
              </w:rPr>
            </w:pPr>
            <w:r>
              <w:rPr>
                <w:b/>
                <w:bCs/>
                <w:sz w:val="20"/>
                <w:szCs w:val="20"/>
                <w:lang w:val="en-US"/>
              </w:rPr>
              <w:t>Mitigating Control:</w:t>
            </w:r>
            <w:r>
              <w:rPr>
                <w:sz w:val="20"/>
                <w:szCs w:val="20"/>
                <w:lang w:val="en-US"/>
              </w:rPr>
              <w:t xml:space="preserve"> </w:t>
            </w:r>
          </w:p>
          <w:p w:rsidR="00B467C8" w:rsidRPr="00C32A55" w:rsidRDefault="00B467C8" w:rsidP="00C32A55">
            <w:pPr>
              <w:rPr>
                <w:sz w:val="20"/>
                <w:szCs w:val="20"/>
                <w:lang w:val="en-US"/>
              </w:rPr>
            </w:pPr>
            <w:r w:rsidRPr="00C32A55">
              <w:rPr>
                <w:sz w:val="20"/>
                <w:szCs w:val="20"/>
                <w:lang w:val="en-US"/>
              </w:rPr>
              <w:t>Appoint new staff</w:t>
            </w:r>
          </w:p>
          <w:p w:rsidR="00B467C8" w:rsidRDefault="00B467C8" w:rsidP="00C32A55">
            <w:pPr>
              <w:rPr>
                <w:b/>
                <w:bCs/>
                <w:sz w:val="20"/>
                <w:szCs w:val="20"/>
                <w:lang w:val="en-US"/>
              </w:rPr>
            </w:pPr>
            <w:r w:rsidRPr="00C32A55">
              <w:rPr>
                <w:sz w:val="20"/>
                <w:szCs w:val="20"/>
                <w:lang w:val="en-US"/>
              </w:rPr>
              <w:t>Maximise revenue potential and external funding opportunities</w:t>
            </w:r>
          </w:p>
        </w:tc>
        <w:tc>
          <w:tcPr>
            <w:tcW w:w="3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3</w:t>
            </w:r>
          </w:p>
        </w:tc>
        <w:tc>
          <w:tcPr>
            <w:tcW w:w="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3</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sz w:val="20"/>
                <w:szCs w:val="20"/>
                <w:lang w:val="en-US"/>
              </w:rPr>
            </w:pPr>
            <w:r>
              <w:rPr>
                <w:b/>
                <w:bCs/>
                <w:sz w:val="20"/>
                <w:szCs w:val="20"/>
                <w:lang w:val="en-US"/>
              </w:rPr>
              <w:t>Action</w:t>
            </w:r>
          </w:p>
          <w:p w:rsidR="00B467C8" w:rsidRDefault="00B467C8" w:rsidP="002E69CE">
            <w:pPr>
              <w:rPr>
                <w:sz w:val="20"/>
                <w:szCs w:val="20"/>
                <w:lang w:val="en-US"/>
              </w:rPr>
            </w:pPr>
            <w:r>
              <w:rPr>
                <w:b/>
                <w:bCs/>
                <w:sz w:val="20"/>
                <w:szCs w:val="20"/>
                <w:lang w:val="en-US"/>
              </w:rPr>
              <w:t>Owner</w:t>
            </w:r>
            <w:r>
              <w:rPr>
                <w:sz w:val="20"/>
                <w:szCs w:val="20"/>
                <w:lang w:val="en-US"/>
              </w:rPr>
              <w:t>: Cultural Development Manager</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b/>
                <w:bCs/>
                <w:sz w:val="20"/>
                <w:szCs w:val="20"/>
                <w:lang w:val="en-US"/>
              </w:rPr>
              <w:t>Outcome required:</w:t>
            </w:r>
            <w:r>
              <w:rPr>
                <w:sz w:val="20"/>
                <w:szCs w:val="20"/>
                <w:lang w:val="en-US"/>
              </w:rPr>
              <w:t xml:space="preserve"> Delivery of Culture Strategy</w:t>
            </w:r>
          </w:p>
          <w:p w:rsidR="00B467C8" w:rsidRDefault="00B467C8" w:rsidP="002E69CE">
            <w:pPr>
              <w:rPr>
                <w:b/>
                <w:bCs/>
                <w:sz w:val="20"/>
                <w:szCs w:val="20"/>
                <w:lang w:val="en-US"/>
              </w:rPr>
            </w:pPr>
          </w:p>
          <w:p w:rsidR="00B467C8" w:rsidRDefault="00B467C8" w:rsidP="002E69CE">
            <w:pPr>
              <w:rPr>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3</w:t>
            </w:r>
          </w:p>
        </w:tc>
        <w:tc>
          <w:tcPr>
            <w:tcW w:w="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3</w:t>
            </w:r>
          </w:p>
        </w:tc>
      </w:tr>
      <w:tr w:rsidR="00B467C8">
        <w:trPr>
          <w:cantSplit/>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4</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Full Council not</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approving strategy</w:t>
            </w:r>
          </w:p>
        </w:tc>
        <w:tc>
          <w:tcPr>
            <w:tcW w:w="4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4</w:t>
            </w:r>
          </w:p>
        </w:tc>
        <w:tc>
          <w:tcPr>
            <w:tcW w:w="4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2</w:t>
            </w:r>
          </w:p>
        </w:tc>
        <w:tc>
          <w:tcPr>
            <w:tcW w:w="22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rFonts w:ascii="TT123E8o00" w:hAnsi="TT123E8o00" w:cs="TT123E8o00"/>
                <w:sz w:val="20"/>
                <w:szCs w:val="20"/>
                <w:lang w:eastAsia="en-GB"/>
              </w:rPr>
            </w:pPr>
            <w:r>
              <w:rPr>
                <w:rFonts w:ascii="TT123E8o00" w:hAnsi="TT123E8o00" w:cs="TT123E8o00"/>
                <w:sz w:val="20"/>
                <w:szCs w:val="20"/>
                <w:lang w:eastAsia="en-GB"/>
              </w:rPr>
              <w:t>Lack of communication with members</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Pr="00C32A55" w:rsidRDefault="00B467C8" w:rsidP="00C32A55">
            <w:pPr>
              <w:rPr>
                <w:sz w:val="20"/>
                <w:szCs w:val="20"/>
                <w:lang w:val="en-US"/>
              </w:rPr>
            </w:pPr>
            <w:r>
              <w:rPr>
                <w:b/>
                <w:bCs/>
                <w:sz w:val="20"/>
                <w:szCs w:val="20"/>
                <w:lang w:val="en-US"/>
              </w:rPr>
              <w:t>Mitigating Control:</w:t>
            </w:r>
            <w:r>
              <w:rPr>
                <w:sz w:val="20"/>
                <w:szCs w:val="20"/>
                <w:lang w:val="en-US"/>
              </w:rPr>
              <w:t xml:space="preserve"> </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Continued liaison with</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key members.</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Document is properly</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prepared, consulted</w:t>
            </w:r>
          </w:p>
          <w:p w:rsidR="00B467C8" w:rsidRDefault="00B467C8" w:rsidP="00C32A5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upon and supported</w:t>
            </w:r>
          </w:p>
          <w:p w:rsidR="00B467C8" w:rsidRPr="009354D5" w:rsidRDefault="00B467C8" w:rsidP="009354D5">
            <w:pPr>
              <w:autoSpaceDE w:val="0"/>
              <w:autoSpaceDN w:val="0"/>
              <w:adjustRightInd w:val="0"/>
              <w:rPr>
                <w:rFonts w:ascii="TT123E8o00" w:hAnsi="TT123E8o00" w:cs="TT123E8o00"/>
                <w:sz w:val="20"/>
                <w:szCs w:val="20"/>
                <w:lang w:eastAsia="en-GB"/>
              </w:rPr>
            </w:pPr>
            <w:r>
              <w:rPr>
                <w:rFonts w:ascii="TT123E8o00" w:hAnsi="TT123E8o00" w:cs="TT123E8o00"/>
                <w:sz w:val="20"/>
                <w:szCs w:val="20"/>
                <w:lang w:eastAsia="en-GB"/>
              </w:rPr>
              <w:t>by evidence.</w:t>
            </w:r>
          </w:p>
        </w:tc>
        <w:tc>
          <w:tcPr>
            <w:tcW w:w="3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2</w:t>
            </w:r>
          </w:p>
        </w:tc>
        <w:tc>
          <w:tcPr>
            <w:tcW w:w="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2</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b/>
                <w:bCs/>
                <w:sz w:val="20"/>
                <w:szCs w:val="20"/>
                <w:lang w:val="en-US"/>
              </w:rPr>
            </w:pPr>
            <w:r>
              <w:rPr>
                <w:b/>
                <w:bCs/>
                <w:sz w:val="20"/>
                <w:szCs w:val="20"/>
                <w:lang w:val="en-US"/>
              </w:rPr>
              <w:t>Action</w:t>
            </w:r>
          </w:p>
          <w:p w:rsidR="00B467C8" w:rsidRDefault="00B467C8" w:rsidP="009354D5">
            <w:pPr>
              <w:rPr>
                <w:sz w:val="20"/>
                <w:szCs w:val="20"/>
                <w:lang w:val="en-US"/>
              </w:rPr>
            </w:pPr>
            <w:r>
              <w:rPr>
                <w:b/>
                <w:bCs/>
                <w:sz w:val="20"/>
                <w:szCs w:val="20"/>
                <w:lang w:val="en-US"/>
              </w:rPr>
              <w:t>Owner</w:t>
            </w:r>
            <w:r>
              <w:rPr>
                <w:sz w:val="20"/>
                <w:szCs w:val="20"/>
                <w:lang w:val="en-US"/>
              </w:rPr>
              <w:t>: Democratic Services Manager</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b/>
                <w:bCs/>
                <w:sz w:val="20"/>
                <w:szCs w:val="20"/>
                <w:lang w:val="en-US"/>
              </w:rPr>
              <w:t>Outcome required:</w:t>
            </w:r>
            <w:r>
              <w:rPr>
                <w:sz w:val="20"/>
                <w:szCs w:val="20"/>
                <w:lang w:val="en-US"/>
              </w:rPr>
              <w:t xml:space="preserve"> Approval of Culture Strategy</w:t>
            </w:r>
          </w:p>
          <w:p w:rsidR="00B467C8" w:rsidRDefault="00B467C8" w:rsidP="002E69CE">
            <w:pPr>
              <w:rPr>
                <w:b/>
                <w:bCs/>
                <w:sz w:val="20"/>
                <w:szCs w:val="20"/>
                <w:lang w:val="en-US"/>
              </w:rPr>
            </w:pPr>
          </w:p>
          <w:p w:rsidR="00B467C8" w:rsidRDefault="00B467C8" w:rsidP="002E69CE">
            <w:pPr>
              <w:rPr>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p>
        </w:tc>
        <w:tc>
          <w:tcPr>
            <w:tcW w:w="5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2</w:t>
            </w:r>
          </w:p>
        </w:tc>
        <w:tc>
          <w:tcPr>
            <w:tcW w:w="5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67C8" w:rsidRDefault="00B467C8" w:rsidP="002E69CE">
            <w:pPr>
              <w:rPr>
                <w:sz w:val="20"/>
                <w:szCs w:val="20"/>
                <w:lang w:val="en-US"/>
              </w:rPr>
            </w:pPr>
            <w:r>
              <w:rPr>
                <w:sz w:val="20"/>
                <w:szCs w:val="20"/>
                <w:lang w:val="en-US"/>
              </w:rPr>
              <w:t>2</w:t>
            </w:r>
          </w:p>
        </w:tc>
      </w:tr>
    </w:tbl>
    <w:p w:rsidR="00B467C8" w:rsidRDefault="00B467C8" w:rsidP="00DA7984">
      <w:pPr>
        <w:rPr>
          <w:b/>
          <w:bCs/>
        </w:rPr>
      </w:pPr>
    </w:p>
    <w:sectPr w:rsidR="00B467C8" w:rsidSect="008029A0">
      <w:pgSz w:w="16838" w:h="11906" w:orient="landscape"/>
      <w:pgMar w:top="1797" w:right="1440" w:bottom="1797" w:left="1440" w:header="709" w:footer="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7C8" w:rsidRDefault="00B467C8">
      <w:r>
        <w:separator/>
      </w:r>
    </w:p>
  </w:endnote>
  <w:endnote w:type="continuationSeparator" w:id="0">
    <w:p w:rsidR="00B467C8" w:rsidRDefault="00B46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123D8o00">
    <w:panose1 w:val="00000000000000000000"/>
    <w:charset w:val="00"/>
    <w:family w:val="auto"/>
    <w:notTrueType/>
    <w:pitch w:val="default"/>
    <w:sig w:usb0="00000003" w:usb1="00000000" w:usb2="00000000" w:usb3="00000000" w:csb0="00000001" w:csb1="00000000"/>
  </w:font>
  <w:font w:name="TT123D9o00">
    <w:panose1 w:val="00000000000000000000"/>
    <w:charset w:val="00"/>
    <w:family w:val="auto"/>
    <w:notTrueType/>
    <w:pitch w:val="default"/>
    <w:sig w:usb0="00000003" w:usb1="00000000" w:usb2="00000000" w:usb3="00000000" w:csb0="00000001" w:csb1="00000000"/>
  </w:font>
  <w:font w:name="TT123DDo00">
    <w:panose1 w:val="00000000000000000000"/>
    <w:charset w:val="00"/>
    <w:family w:val="auto"/>
    <w:notTrueType/>
    <w:pitch w:val="default"/>
    <w:sig w:usb0="00000003" w:usb1="00000000" w:usb2="00000000" w:usb3="00000000" w:csb0="00000001" w:csb1="00000000"/>
  </w:font>
  <w:font w:name="TT123E8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7C8" w:rsidRDefault="00B467C8">
      <w:r>
        <w:separator/>
      </w:r>
    </w:p>
  </w:footnote>
  <w:footnote w:type="continuationSeparator" w:id="0">
    <w:p w:rsidR="00B467C8" w:rsidRDefault="00B46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AD4"/>
    <w:multiLevelType w:val="hybridMultilevel"/>
    <w:tmpl w:val="110A036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39327A5A"/>
    <w:multiLevelType w:val="hybridMultilevel"/>
    <w:tmpl w:val="D71E19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FD631B1"/>
    <w:multiLevelType w:val="hybridMultilevel"/>
    <w:tmpl w:val="0872389E"/>
    <w:lvl w:ilvl="0" w:tplc="7D385056">
      <w:start w:val="1"/>
      <w:numFmt w:val="bullet"/>
      <w:pStyle w:val="AC-Bullet"/>
      <w:lvlText w:val=""/>
      <w:lvlJc w:val="left"/>
      <w:pPr>
        <w:tabs>
          <w:tab w:val="num" w:pos="567"/>
        </w:tabs>
        <w:ind w:left="567" w:hanging="567"/>
      </w:pPr>
      <w:rPr>
        <w:rFonts w:ascii="Wingdings" w:hAnsi="Wingdings" w:cs="Wingdings" w:hint="default"/>
        <w:b w:val="0"/>
        <w:bCs w:val="0"/>
        <w:i w:val="0"/>
        <w:iCs w:val="0"/>
        <w:caps w:val="0"/>
        <w:smallCaps w:val="0"/>
        <w:strike w:val="0"/>
        <w:dstrike w:val="0"/>
        <w:outline w:val="0"/>
        <w:shadow w:val="0"/>
        <w:emboss w:val="0"/>
        <w:imprint w:val="0"/>
        <w:snapToGrid w:val="0"/>
        <w:vanish w:val="0"/>
        <w:color w:val="auto"/>
        <w:spacing w:val="0"/>
        <w:kern w:val="0"/>
        <w:position w:val="0"/>
        <w:sz w:val="16"/>
        <w:szCs w:val="16"/>
        <w:u w:val="none"/>
        <w:vertAlign w:val="baseli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
    <w:nsid w:val="453A0DF2"/>
    <w:multiLevelType w:val="hybridMultilevel"/>
    <w:tmpl w:val="5356819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5">
    <w:nsid w:val="461E3DFE"/>
    <w:multiLevelType w:val="hybridMultilevel"/>
    <w:tmpl w:val="D7D49C76"/>
    <w:lvl w:ilvl="0" w:tplc="0809000F">
      <w:start w:val="1"/>
      <w:numFmt w:val="decimal"/>
      <w:lvlText w:val="%1."/>
      <w:lvlJc w:val="left"/>
      <w:pPr>
        <w:tabs>
          <w:tab w:val="num" w:pos="720"/>
        </w:tabs>
        <w:ind w:left="720" w:hanging="360"/>
      </w:pPr>
      <w:rPr>
        <w:rFonts w:hint="default"/>
      </w:rPr>
    </w:lvl>
    <w:lvl w:ilvl="1" w:tplc="8536DF86">
      <w:start w:val="1"/>
      <w:numFmt w:val="decimal"/>
      <w:lvlText w:val="%2."/>
      <w:lvlJc w:val="left"/>
      <w:pPr>
        <w:tabs>
          <w:tab w:val="num" w:pos="1440"/>
        </w:tabs>
        <w:ind w:left="1440" w:hanging="360"/>
      </w:pPr>
      <w:rPr>
        <w:rFonts w:ascii="Times New Roman" w:eastAsia="Times New Roman" w:hAnsi="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772353F"/>
    <w:multiLevelType w:val="hybridMultilevel"/>
    <w:tmpl w:val="45BEE0E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55403ABA"/>
    <w:multiLevelType w:val="hybridMultilevel"/>
    <w:tmpl w:val="7826B06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nsid w:val="7D8E0001"/>
    <w:multiLevelType w:val="hybridMultilevel"/>
    <w:tmpl w:val="318AC830"/>
    <w:lvl w:ilvl="0" w:tplc="72B64396">
      <w:start w:val="1"/>
      <w:numFmt w:val="decimal"/>
      <w:lvlText w:val="%1."/>
      <w:lvlJc w:val="left"/>
      <w:pPr>
        <w:tabs>
          <w:tab w:val="num" w:pos="720"/>
        </w:tabs>
        <w:ind w:left="720" w:hanging="360"/>
      </w:pPr>
      <w:rPr>
        <w:rFonts w:ascii="Arial"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7E6E07CD"/>
    <w:multiLevelType w:val="hybridMultilevel"/>
    <w:tmpl w:val="065A138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9"/>
  </w:num>
  <w:num w:numId="4">
    <w:abstractNumId w:val="2"/>
  </w:num>
  <w:num w:numId="5">
    <w:abstractNumId w:val="6"/>
  </w:num>
  <w:num w:numId="6">
    <w:abstractNumId w:val="4"/>
  </w:num>
  <w:num w:numId="7">
    <w:abstractNumId w:val="1"/>
  </w:num>
  <w:num w:numId="8">
    <w:abstractNumId w:val="10"/>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292"/>
    <w:rsid w:val="00040397"/>
    <w:rsid w:val="000540C0"/>
    <w:rsid w:val="00056263"/>
    <w:rsid w:val="00072964"/>
    <w:rsid w:val="00080544"/>
    <w:rsid w:val="0009186B"/>
    <w:rsid w:val="000C3928"/>
    <w:rsid w:val="00100BD6"/>
    <w:rsid w:val="00122FD6"/>
    <w:rsid w:val="001F51AA"/>
    <w:rsid w:val="00202670"/>
    <w:rsid w:val="00235BE0"/>
    <w:rsid w:val="002D3EF1"/>
    <w:rsid w:val="002E69CE"/>
    <w:rsid w:val="002F093D"/>
    <w:rsid w:val="0030147F"/>
    <w:rsid w:val="00304267"/>
    <w:rsid w:val="00310CAF"/>
    <w:rsid w:val="00372780"/>
    <w:rsid w:val="00390482"/>
    <w:rsid w:val="00465EAF"/>
    <w:rsid w:val="004F1087"/>
    <w:rsid w:val="004F4AF7"/>
    <w:rsid w:val="00501028"/>
    <w:rsid w:val="00524B58"/>
    <w:rsid w:val="00525DAA"/>
    <w:rsid w:val="0053101F"/>
    <w:rsid w:val="00583E55"/>
    <w:rsid w:val="005E7E48"/>
    <w:rsid w:val="00645F1F"/>
    <w:rsid w:val="006C310A"/>
    <w:rsid w:val="006E56BA"/>
    <w:rsid w:val="006E5DB7"/>
    <w:rsid w:val="006F0A53"/>
    <w:rsid w:val="00713675"/>
    <w:rsid w:val="00766930"/>
    <w:rsid w:val="00772AAB"/>
    <w:rsid w:val="007C5B1E"/>
    <w:rsid w:val="008029A0"/>
    <w:rsid w:val="00804CB9"/>
    <w:rsid w:val="008346DE"/>
    <w:rsid w:val="008518BA"/>
    <w:rsid w:val="00855C66"/>
    <w:rsid w:val="00886309"/>
    <w:rsid w:val="008A53D2"/>
    <w:rsid w:val="008E7E46"/>
    <w:rsid w:val="009248CB"/>
    <w:rsid w:val="009354D5"/>
    <w:rsid w:val="00971689"/>
    <w:rsid w:val="00973E90"/>
    <w:rsid w:val="009820CA"/>
    <w:rsid w:val="009879D0"/>
    <w:rsid w:val="009D6577"/>
    <w:rsid w:val="009F6321"/>
    <w:rsid w:val="00A42EF1"/>
    <w:rsid w:val="00A626E8"/>
    <w:rsid w:val="00A92D8F"/>
    <w:rsid w:val="00AD3292"/>
    <w:rsid w:val="00B467C8"/>
    <w:rsid w:val="00BA5CA8"/>
    <w:rsid w:val="00C32A55"/>
    <w:rsid w:val="00C51AF0"/>
    <w:rsid w:val="00C775F5"/>
    <w:rsid w:val="00CE64BA"/>
    <w:rsid w:val="00D21E0C"/>
    <w:rsid w:val="00D70EAD"/>
    <w:rsid w:val="00DA7984"/>
    <w:rsid w:val="00DE561F"/>
    <w:rsid w:val="00E01F42"/>
    <w:rsid w:val="00E724E1"/>
    <w:rsid w:val="00E81AC4"/>
    <w:rsid w:val="00EA0DB1"/>
    <w:rsid w:val="00EB5C95"/>
    <w:rsid w:val="00F4367A"/>
    <w:rsid w:val="00F7606D"/>
    <w:rsid w:val="00FA624C"/>
    <w:rsid w:val="00FC6451"/>
    <w:rsid w:val="00FE63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9D0"/>
    <w:rPr>
      <w:rFonts w:ascii="Arial" w:hAnsi="Arial" w:cs="Arial"/>
      <w:sz w:val="24"/>
      <w:szCs w:val="24"/>
      <w:lang w:eastAsia="en-US"/>
    </w:rPr>
  </w:style>
  <w:style w:type="paragraph" w:styleId="Heading1">
    <w:name w:val="heading 1"/>
    <w:basedOn w:val="Normal"/>
    <w:next w:val="Normal"/>
    <w:link w:val="Heading1Char"/>
    <w:uiPriority w:val="99"/>
    <w:qFormat/>
    <w:rsid w:val="009879D0"/>
    <w:pPr>
      <w:keepNext/>
      <w:outlineLvl w:val="0"/>
    </w:pPr>
    <w:rPr>
      <w:b/>
      <w:bCs/>
    </w:rPr>
  </w:style>
  <w:style w:type="paragraph" w:styleId="Heading2">
    <w:name w:val="heading 2"/>
    <w:basedOn w:val="Normal"/>
    <w:next w:val="Normal"/>
    <w:link w:val="Heading2Char"/>
    <w:uiPriority w:val="99"/>
    <w:qFormat/>
    <w:rsid w:val="009879D0"/>
    <w:pPr>
      <w:keepNext/>
      <w:outlineLvl w:val="1"/>
    </w:pPr>
    <w:rPr>
      <w:b/>
      <w:bCs/>
      <w:sz w:val="32"/>
      <w:szCs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51AA"/>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1F51AA"/>
    <w:rPr>
      <w:rFonts w:ascii="Cambria" w:hAnsi="Cambria" w:cs="Cambria"/>
      <w:b/>
      <w:bCs/>
      <w:i/>
      <w:iCs/>
      <w:sz w:val="28"/>
      <w:szCs w:val="28"/>
      <w:lang w:eastAsia="en-US"/>
    </w:rPr>
  </w:style>
  <w:style w:type="paragraph" w:styleId="Header">
    <w:name w:val="header"/>
    <w:basedOn w:val="Normal"/>
    <w:link w:val="HeaderChar"/>
    <w:uiPriority w:val="99"/>
    <w:rsid w:val="009879D0"/>
    <w:pPr>
      <w:tabs>
        <w:tab w:val="center" w:pos="4153"/>
        <w:tab w:val="right" w:pos="8306"/>
      </w:tabs>
    </w:pPr>
  </w:style>
  <w:style w:type="character" w:customStyle="1" w:styleId="HeaderChar">
    <w:name w:val="Header Char"/>
    <w:basedOn w:val="DefaultParagraphFont"/>
    <w:link w:val="Header"/>
    <w:uiPriority w:val="99"/>
    <w:semiHidden/>
    <w:locked/>
    <w:rsid w:val="001F51AA"/>
    <w:rPr>
      <w:rFonts w:ascii="Arial" w:hAnsi="Arial" w:cs="Arial"/>
      <w:sz w:val="24"/>
      <w:szCs w:val="24"/>
      <w:lang w:eastAsia="en-US"/>
    </w:rPr>
  </w:style>
  <w:style w:type="paragraph" w:styleId="Footer">
    <w:name w:val="footer"/>
    <w:basedOn w:val="Normal"/>
    <w:link w:val="FooterChar"/>
    <w:uiPriority w:val="99"/>
    <w:rsid w:val="009879D0"/>
    <w:pPr>
      <w:tabs>
        <w:tab w:val="center" w:pos="4153"/>
        <w:tab w:val="right" w:pos="8306"/>
      </w:tabs>
    </w:pPr>
  </w:style>
  <w:style w:type="character" w:customStyle="1" w:styleId="FooterChar">
    <w:name w:val="Footer Char"/>
    <w:basedOn w:val="DefaultParagraphFont"/>
    <w:link w:val="Footer"/>
    <w:uiPriority w:val="99"/>
    <w:semiHidden/>
    <w:locked/>
    <w:rsid w:val="00FC6451"/>
    <w:rPr>
      <w:rFonts w:ascii="Arial" w:hAnsi="Arial" w:cs="Arial"/>
      <w:sz w:val="24"/>
      <w:szCs w:val="24"/>
      <w:lang w:val="en-GB" w:eastAsia="en-US"/>
    </w:rPr>
  </w:style>
  <w:style w:type="paragraph" w:styleId="NormalWeb">
    <w:name w:val="Normal (Web)"/>
    <w:basedOn w:val="Normal"/>
    <w:uiPriority w:val="99"/>
    <w:rsid w:val="009879D0"/>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uiPriority w:val="99"/>
    <w:semiHidden/>
    <w:rsid w:val="009879D0"/>
    <w:rPr>
      <w:rFonts w:cs="Times New Roman"/>
      <w:sz w:val="16"/>
      <w:szCs w:val="16"/>
    </w:rPr>
  </w:style>
  <w:style w:type="paragraph" w:styleId="CommentText">
    <w:name w:val="annotation text"/>
    <w:basedOn w:val="Normal"/>
    <w:link w:val="CommentTextChar"/>
    <w:uiPriority w:val="99"/>
    <w:semiHidden/>
    <w:rsid w:val="009879D0"/>
    <w:rPr>
      <w:sz w:val="20"/>
      <w:szCs w:val="20"/>
    </w:rPr>
  </w:style>
  <w:style w:type="character" w:customStyle="1" w:styleId="CommentTextChar">
    <w:name w:val="Comment Text Char"/>
    <w:basedOn w:val="DefaultParagraphFont"/>
    <w:link w:val="CommentText"/>
    <w:uiPriority w:val="99"/>
    <w:semiHidden/>
    <w:locked/>
    <w:rsid w:val="001F51AA"/>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9879D0"/>
    <w:rPr>
      <w:b/>
      <w:bCs/>
    </w:rPr>
  </w:style>
  <w:style w:type="character" w:customStyle="1" w:styleId="CommentSubjectChar">
    <w:name w:val="Comment Subject Char"/>
    <w:basedOn w:val="CommentTextChar"/>
    <w:link w:val="CommentSubject"/>
    <w:uiPriority w:val="99"/>
    <w:semiHidden/>
    <w:locked/>
    <w:rsid w:val="001F51AA"/>
    <w:rPr>
      <w:b/>
      <w:bCs/>
    </w:rPr>
  </w:style>
  <w:style w:type="paragraph" w:styleId="BalloonText">
    <w:name w:val="Balloon Text"/>
    <w:basedOn w:val="Normal"/>
    <w:link w:val="BalloonTextChar"/>
    <w:uiPriority w:val="99"/>
    <w:semiHidden/>
    <w:rsid w:val="009879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1AA"/>
    <w:rPr>
      <w:rFonts w:cs="Times New Roman"/>
      <w:sz w:val="2"/>
      <w:szCs w:val="2"/>
      <w:lang w:eastAsia="en-US"/>
    </w:rPr>
  </w:style>
  <w:style w:type="paragraph" w:styleId="Caption">
    <w:name w:val="caption"/>
    <w:basedOn w:val="Normal"/>
    <w:next w:val="Normal"/>
    <w:uiPriority w:val="99"/>
    <w:qFormat/>
    <w:rsid w:val="009879D0"/>
    <w:pPr>
      <w:spacing w:before="120" w:after="120"/>
    </w:pPr>
    <w:rPr>
      <w:b/>
      <w:bCs/>
      <w:sz w:val="20"/>
      <w:szCs w:val="20"/>
    </w:rPr>
  </w:style>
  <w:style w:type="character" w:styleId="PageNumber">
    <w:name w:val="page number"/>
    <w:basedOn w:val="DefaultParagraphFont"/>
    <w:uiPriority w:val="99"/>
    <w:rsid w:val="009879D0"/>
    <w:rPr>
      <w:rFonts w:cs="Times New Roman"/>
    </w:rPr>
  </w:style>
  <w:style w:type="character" w:styleId="Hyperlink">
    <w:name w:val="Hyperlink"/>
    <w:basedOn w:val="DefaultParagraphFont"/>
    <w:uiPriority w:val="99"/>
    <w:rsid w:val="00713675"/>
    <w:rPr>
      <w:rFonts w:cs="Times New Roman"/>
      <w:color w:val="0000FF"/>
      <w:u w:val="single"/>
    </w:rPr>
  </w:style>
  <w:style w:type="paragraph" w:styleId="ListParagraph">
    <w:name w:val="List Paragraph"/>
    <w:basedOn w:val="Normal"/>
    <w:uiPriority w:val="99"/>
    <w:qFormat/>
    <w:rsid w:val="00372780"/>
    <w:pPr>
      <w:ind w:left="720"/>
    </w:pPr>
  </w:style>
  <w:style w:type="paragraph" w:customStyle="1" w:styleId="Normal2">
    <w:name w:val="Normal+2"/>
    <w:basedOn w:val="Normal"/>
    <w:next w:val="Normal"/>
    <w:uiPriority w:val="99"/>
    <w:rsid w:val="00FC6451"/>
    <w:pPr>
      <w:autoSpaceDE w:val="0"/>
      <w:autoSpaceDN w:val="0"/>
      <w:adjustRightInd w:val="0"/>
    </w:pPr>
    <w:rPr>
      <w:lang w:eastAsia="en-GB"/>
    </w:rPr>
  </w:style>
  <w:style w:type="table" w:styleId="TableGrid">
    <w:name w:val="Table Grid"/>
    <w:basedOn w:val="TableNormal"/>
    <w:uiPriority w:val="99"/>
    <w:rsid w:val="00FC645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Bullet">
    <w:name w:val="AC - Bullet"/>
    <w:uiPriority w:val="99"/>
    <w:rsid w:val="00FC6451"/>
    <w:pPr>
      <w:numPr>
        <w:numId w:val="10"/>
      </w:numPr>
      <w:spacing w:after="140"/>
      <w:ind w:right="397"/>
    </w:pPr>
    <w:rPr>
      <w:rFonts w:ascii="Arial" w:hAnsi="Arial" w:cs="Arial"/>
      <w:color w:val="000000"/>
      <w:lang w:eastAsia="en-US"/>
    </w:rPr>
  </w:style>
  <w:style w:type="paragraph" w:styleId="BodyText3">
    <w:name w:val="Body Text 3"/>
    <w:basedOn w:val="Normal"/>
    <w:link w:val="BodyText3Char"/>
    <w:uiPriority w:val="99"/>
    <w:rsid w:val="00FC6451"/>
    <w:rPr>
      <w:b/>
      <w:bCs/>
      <w:lang w:eastAsia="en-GB"/>
    </w:rPr>
  </w:style>
  <w:style w:type="character" w:customStyle="1" w:styleId="BodyText3Char">
    <w:name w:val="Body Text 3 Char"/>
    <w:basedOn w:val="DefaultParagraphFont"/>
    <w:link w:val="BodyText3"/>
    <w:uiPriority w:val="99"/>
    <w:semiHidden/>
    <w:locked/>
    <w:rsid w:val="00FC6451"/>
    <w:rPr>
      <w:rFonts w:ascii="Arial" w:hAnsi="Arial" w:cs="Arial"/>
      <w:b/>
      <w:bCs/>
      <w:sz w:val="24"/>
      <w:szCs w:val="24"/>
      <w:lang w:val="en-GB" w:eastAsia="en-GB"/>
    </w:rPr>
  </w:style>
  <w:style w:type="character" w:styleId="Emphasis">
    <w:name w:val="Emphasis"/>
    <w:basedOn w:val="DefaultParagraphFont"/>
    <w:uiPriority w:val="99"/>
    <w:qFormat/>
    <w:locked/>
    <w:rsid w:val="006F0A53"/>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sideocc/styleguide/logos/occ_blk.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ort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2563</Words>
  <Characters>14611</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mmetcalfe</cp:lastModifiedBy>
  <cp:revision>3</cp:revision>
  <cp:lastPrinted>2010-10-15T10:32:00Z</cp:lastPrinted>
  <dcterms:created xsi:type="dcterms:W3CDTF">2012-12-04T11:34:00Z</dcterms:created>
  <dcterms:modified xsi:type="dcterms:W3CDTF">2012-12-04T14:09:00Z</dcterms:modified>
</cp:coreProperties>
</file>

<file path=docProps/custom.xml><?xml version="1.0" encoding="utf-8"?>
<op:Properties xmlns:op="http://schemas.openxmlformats.org/officeDocument/2006/custom-properties"/>
</file>